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766" w14:textId="6D0CF211" w:rsidR="00544D95" w:rsidRDefault="009827C2" w:rsidP="00CB20EF">
      <w:pPr>
        <w:pStyle w:val="Heading1"/>
        <w:ind w:left="284"/>
        <w:rPr>
          <w:b/>
        </w:rPr>
      </w:pPr>
      <w:r>
        <w:rPr>
          <w:b/>
        </w:rPr>
        <w:t xml:space="preserve">Entering </w:t>
      </w:r>
      <w:r w:rsidR="004218B8">
        <w:rPr>
          <w:b/>
        </w:rPr>
        <w:t>M</w:t>
      </w:r>
      <w:r w:rsidR="00FA5EC3">
        <w:rPr>
          <w:b/>
        </w:rPr>
        <w:t>ulti-Y</w:t>
      </w:r>
      <w:r w:rsidR="004218B8">
        <w:rPr>
          <w:b/>
        </w:rPr>
        <w:t xml:space="preserve">ear </w:t>
      </w:r>
      <w:r>
        <w:rPr>
          <w:b/>
        </w:rPr>
        <w:t>Forecast Data into the Workbook</w:t>
      </w:r>
      <w:r w:rsidR="00544D95">
        <w:rPr>
          <w:b/>
        </w:rPr>
        <w:t>.</w:t>
      </w:r>
    </w:p>
    <w:p w14:paraId="1764031E" w14:textId="3BC1A7C1" w:rsidR="00170398" w:rsidRPr="00170398" w:rsidRDefault="00170398" w:rsidP="00170398">
      <w:pPr>
        <w:pStyle w:val="BodyText"/>
        <w:ind w:left="284"/>
        <w:rPr>
          <w:lang w:val="en-GB"/>
        </w:rPr>
      </w:pPr>
      <w:r w:rsidRPr="00FA5EC3">
        <w:rPr>
          <w:b/>
          <w:color w:val="FF0000"/>
          <w:lang w:val="en-GB"/>
        </w:rPr>
        <w:t xml:space="preserve">Note </w:t>
      </w:r>
      <w:r w:rsidR="000F44A1">
        <w:rPr>
          <w:b/>
          <w:color w:val="FF0000"/>
          <w:lang w:val="en-GB"/>
        </w:rPr>
        <w:t>–</w:t>
      </w:r>
      <w:r w:rsidRPr="00FA5EC3">
        <w:rPr>
          <w:color w:val="FF0000"/>
          <w:lang w:val="en-GB"/>
        </w:rPr>
        <w:t xml:space="preserve"> </w:t>
      </w:r>
      <w:r w:rsidR="000F44A1">
        <w:rPr>
          <w:lang w:val="en-GB"/>
        </w:rPr>
        <w:t xml:space="preserve">Multi-Year </w:t>
      </w:r>
      <w:r w:rsidRPr="00170398">
        <w:rPr>
          <w:lang w:val="en-GB"/>
        </w:rPr>
        <w:t xml:space="preserve">data entry will </w:t>
      </w:r>
      <w:r w:rsidR="000F44A1">
        <w:rPr>
          <w:lang w:val="en-GB"/>
        </w:rPr>
        <w:t xml:space="preserve">require </w:t>
      </w:r>
      <w:r w:rsidR="00527AD4">
        <w:rPr>
          <w:lang w:val="en-GB"/>
        </w:rPr>
        <w:t>N</w:t>
      </w:r>
      <w:r w:rsidRPr="00170398">
        <w:rPr>
          <w:lang w:val="en-GB"/>
        </w:rPr>
        <w:t xml:space="preserve">ext </w:t>
      </w:r>
      <w:r w:rsidR="00527AD4">
        <w:rPr>
          <w:lang w:val="en-GB"/>
        </w:rPr>
        <w:t>Y</w:t>
      </w:r>
      <w:r w:rsidR="00181E51" w:rsidRPr="00170398">
        <w:rPr>
          <w:lang w:val="en-GB"/>
        </w:rPr>
        <w:t>ear’s</w:t>
      </w:r>
      <w:r w:rsidRPr="00170398">
        <w:rPr>
          <w:lang w:val="en-GB"/>
        </w:rPr>
        <w:t xml:space="preserve"> data </w:t>
      </w:r>
      <w:r w:rsidR="000F44A1">
        <w:rPr>
          <w:lang w:val="en-GB"/>
        </w:rPr>
        <w:t xml:space="preserve">to be entered as </w:t>
      </w:r>
      <w:r w:rsidRPr="00170398">
        <w:rPr>
          <w:lang w:val="en-GB"/>
        </w:rPr>
        <w:t>month</w:t>
      </w:r>
      <w:r w:rsidR="000F44A1">
        <w:rPr>
          <w:lang w:val="en-GB"/>
        </w:rPr>
        <w:t>ly figures</w:t>
      </w:r>
      <w:r w:rsidRPr="00170398">
        <w:rPr>
          <w:lang w:val="en-GB"/>
        </w:rPr>
        <w:t xml:space="preserve"> </w:t>
      </w:r>
      <w:r w:rsidR="00527AD4">
        <w:rPr>
          <w:lang w:val="en-GB"/>
        </w:rPr>
        <w:t>and</w:t>
      </w:r>
      <w:r w:rsidRPr="00170398">
        <w:rPr>
          <w:lang w:val="en-GB"/>
        </w:rPr>
        <w:t xml:space="preserve"> </w:t>
      </w:r>
      <w:r w:rsidR="000F44A1">
        <w:rPr>
          <w:lang w:val="en-GB"/>
        </w:rPr>
        <w:t>each</w:t>
      </w:r>
      <w:r w:rsidRPr="00170398">
        <w:rPr>
          <w:lang w:val="en-GB"/>
        </w:rPr>
        <w:t xml:space="preserve"> subsequent forecast years</w:t>
      </w:r>
      <w:r w:rsidR="000F44A1">
        <w:rPr>
          <w:lang w:val="en-GB"/>
        </w:rPr>
        <w:t xml:space="preserve"> as annual totals</w:t>
      </w:r>
      <w:r w:rsidRPr="00170398">
        <w:rPr>
          <w:lang w:val="en-GB"/>
        </w:rPr>
        <w:t xml:space="preserve">. </w:t>
      </w:r>
      <w:r w:rsidR="000F44A1">
        <w:rPr>
          <w:lang w:val="en-GB"/>
        </w:rPr>
        <w:t>For example</w:t>
      </w:r>
      <w:r w:rsidR="008F36FB">
        <w:rPr>
          <w:lang w:val="en-GB"/>
        </w:rPr>
        <w:t>;</w:t>
      </w:r>
      <w:r w:rsidR="000F44A1">
        <w:rPr>
          <w:lang w:val="en-GB"/>
        </w:rPr>
        <w:t xml:space="preserve"> i</w:t>
      </w:r>
      <w:r w:rsidRPr="00170398">
        <w:rPr>
          <w:lang w:val="en-GB"/>
        </w:rPr>
        <w:t xml:space="preserve">f </w:t>
      </w:r>
      <w:r w:rsidR="008F36FB">
        <w:rPr>
          <w:lang w:val="en-GB"/>
        </w:rPr>
        <w:t>N</w:t>
      </w:r>
      <w:r w:rsidRPr="00170398">
        <w:rPr>
          <w:lang w:val="en-GB"/>
        </w:rPr>
        <w:t xml:space="preserve">ext </w:t>
      </w:r>
      <w:r w:rsidR="008F36FB">
        <w:rPr>
          <w:lang w:val="en-GB"/>
        </w:rPr>
        <w:t>Y</w:t>
      </w:r>
      <w:r w:rsidRPr="00170398">
        <w:rPr>
          <w:lang w:val="en-GB"/>
        </w:rPr>
        <w:t xml:space="preserve">ear </w:t>
      </w:r>
      <w:r w:rsidR="00181E51">
        <w:rPr>
          <w:lang w:val="en-GB"/>
        </w:rPr>
        <w:t>is</w:t>
      </w:r>
      <w:r w:rsidRPr="00170398">
        <w:rPr>
          <w:lang w:val="en-GB"/>
        </w:rPr>
        <w:t xml:space="preserve"> 20</w:t>
      </w:r>
      <w:r w:rsidR="00181E51">
        <w:rPr>
          <w:lang w:val="en-GB"/>
        </w:rPr>
        <w:t>20</w:t>
      </w:r>
      <w:r w:rsidR="008F36FB">
        <w:rPr>
          <w:lang w:val="en-GB"/>
        </w:rPr>
        <w:t>,</w:t>
      </w:r>
      <w:r w:rsidRPr="00170398">
        <w:rPr>
          <w:lang w:val="en-GB"/>
        </w:rPr>
        <w:t xml:space="preserve"> we would need to enter the forecast data for 20</w:t>
      </w:r>
      <w:r w:rsidR="00181E51">
        <w:rPr>
          <w:lang w:val="en-GB"/>
        </w:rPr>
        <w:t>20</w:t>
      </w:r>
      <w:r w:rsidRPr="00170398">
        <w:rPr>
          <w:lang w:val="en-GB"/>
        </w:rPr>
        <w:t xml:space="preserve"> by month and annual totals for 20</w:t>
      </w:r>
      <w:r w:rsidR="00181E51">
        <w:rPr>
          <w:lang w:val="en-GB"/>
        </w:rPr>
        <w:t>21</w:t>
      </w:r>
      <w:r w:rsidRPr="00170398">
        <w:rPr>
          <w:lang w:val="en-GB"/>
        </w:rPr>
        <w:t xml:space="preserve"> to 202</w:t>
      </w:r>
      <w:r w:rsidR="00181E51">
        <w:rPr>
          <w:lang w:val="en-GB"/>
        </w:rPr>
        <w:t>3</w:t>
      </w:r>
      <w:r w:rsidRPr="00170398">
        <w:rPr>
          <w:lang w:val="en-GB"/>
        </w:rPr>
        <w:t>.</w:t>
      </w:r>
    </w:p>
    <w:p w14:paraId="7D867B01" w14:textId="77777777" w:rsidR="00170398" w:rsidRDefault="00170398" w:rsidP="00403FC2">
      <w:pPr>
        <w:pStyle w:val="BodyText"/>
        <w:ind w:firstLine="284"/>
        <w:rPr>
          <w:lang w:val="en-GB"/>
        </w:rPr>
      </w:pPr>
    </w:p>
    <w:p w14:paraId="2F8F6E05" w14:textId="65C97B27" w:rsidR="00AE125B" w:rsidRPr="00AE125B" w:rsidRDefault="00AE125B" w:rsidP="00403FC2">
      <w:pPr>
        <w:pStyle w:val="BodyText"/>
        <w:ind w:firstLine="284"/>
        <w:rPr>
          <w:lang w:val="en-GB"/>
        </w:rPr>
      </w:pPr>
      <w:r w:rsidRPr="00AE125B">
        <w:rPr>
          <w:lang w:val="en-GB"/>
        </w:rPr>
        <w:t>On the ‘</w:t>
      </w:r>
      <w:r w:rsidR="00295815" w:rsidRPr="00295815">
        <w:rPr>
          <w:b/>
          <w:color w:val="7030A0"/>
          <w:lang w:val="en-GB"/>
        </w:rPr>
        <w:t>Edit</w:t>
      </w:r>
      <w:r w:rsidRPr="00295815">
        <w:rPr>
          <w:b/>
          <w:lang w:val="en-GB"/>
        </w:rPr>
        <w:t>’</w:t>
      </w:r>
      <w:r w:rsidRPr="00AE125B">
        <w:rPr>
          <w:lang w:val="en-GB"/>
        </w:rPr>
        <w:t xml:space="preserve"> worksheet –</w:t>
      </w:r>
    </w:p>
    <w:p w14:paraId="2C7C93B4" w14:textId="77777777" w:rsidR="00AE125B" w:rsidRPr="00AE125B" w:rsidRDefault="00AE125B" w:rsidP="00AE125B">
      <w:pPr>
        <w:pStyle w:val="BodyText"/>
        <w:ind w:left="720"/>
        <w:rPr>
          <w:lang w:val="en-GB"/>
        </w:rPr>
      </w:pPr>
    </w:p>
    <w:p w14:paraId="423B2AB8" w14:textId="7BC3166A" w:rsidR="00AE125B" w:rsidRPr="00AE125B" w:rsidRDefault="00295815" w:rsidP="008F1732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>Select a c</w:t>
      </w:r>
      <w:r w:rsidR="00583573">
        <w:rPr>
          <w:lang w:val="en-GB"/>
        </w:rPr>
        <w:t>hart</w:t>
      </w:r>
      <w:r>
        <w:rPr>
          <w:lang w:val="en-GB"/>
        </w:rPr>
        <w:t>s</w:t>
      </w:r>
      <w:r w:rsidR="00FD69B4">
        <w:rPr>
          <w:lang w:val="en-GB"/>
        </w:rPr>
        <w:t>tring to e</w:t>
      </w:r>
      <w:r w:rsidR="00AE125B" w:rsidRPr="00AE125B">
        <w:rPr>
          <w:lang w:val="en-GB"/>
        </w:rPr>
        <w:t xml:space="preserve">dit from the blue </w:t>
      </w:r>
      <w:r w:rsidR="00FD69B4">
        <w:rPr>
          <w:lang w:val="en-GB"/>
        </w:rPr>
        <w:t xml:space="preserve">drop-down </w:t>
      </w:r>
      <w:r w:rsidR="00AE125B" w:rsidRPr="00AE125B">
        <w:rPr>
          <w:lang w:val="en-GB"/>
        </w:rPr>
        <w:t>box in the top left hand corner of the worksheet</w:t>
      </w:r>
      <w:r w:rsidR="00490326">
        <w:rPr>
          <w:lang w:val="en-GB"/>
        </w:rPr>
        <w:t>.</w:t>
      </w:r>
    </w:p>
    <w:p w14:paraId="72E2B5E0" w14:textId="77777777" w:rsidR="00AE125B" w:rsidRPr="00AE125B" w:rsidRDefault="00AE125B" w:rsidP="00AE125B">
      <w:pPr>
        <w:pStyle w:val="BodyText"/>
        <w:ind w:left="720"/>
        <w:rPr>
          <w:lang w:val="en-GB"/>
        </w:rPr>
      </w:pPr>
      <w:r w:rsidRPr="00AE125B">
        <w:rPr>
          <w:lang w:val="en-GB"/>
        </w:rPr>
        <w:t xml:space="preserve"> </w:t>
      </w:r>
    </w:p>
    <w:p w14:paraId="7E6834D4" w14:textId="7F88B3ED" w:rsidR="00AE125B" w:rsidRPr="00AE125B" w:rsidRDefault="00AE125B" w:rsidP="008F1732">
      <w:pPr>
        <w:pStyle w:val="BodyText"/>
        <w:numPr>
          <w:ilvl w:val="0"/>
          <w:numId w:val="16"/>
        </w:numPr>
        <w:rPr>
          <w:lang w:val="en-GB"/>
        </w:rPr>
      </w:pPr>
      <w:r w:rsidRPr="00AE125B">
        <w:rPr>
          <w:lang w:val="en-GB"/>
        </w:rPr>
        <w:t xml:space="preserve">This will automatically load </w:t>
      </w:r>
      <w:r w:rsidR="00CB4249">
        <w:rPr>
          <w:lang w:val="en-GB"/>
        </w:rPr>
        <w:t xml:space="preserve">the </w:t>
      </w:r>
      <w:r w:rsidRPr="00AE125B">
        <w:rPr>
          <w:lang w:val="en-GB"/>
        </w:rPr>
        <w:t>Latest Forec</w:t>
      </w:r>
      <w:r w:rsidR="00583573">
        <w:rPr>
          <w:lang w:val="en-GB"/>
        </w:rPr>
        <w:t>ast data for the selected chart</w:t>
      </w:r>
      <w:r w:rsidRPr="00AE125B">
        <w:rPr>
          <w:lang w:val="en-GB"/>
        </w:rPr>
        <w:t>string</w:t>
      </w:r>
      <w:r w:rsidR="00490326">
        <w:rPr>
          <w:lang w:val="en-GB"/>
        </w:rPr>
        <w:t>.</w:t>
      </w:r>
    </w:p>
    <w:p w14:paraId="7EBF9CED" w14:textId="7F68B74B" w:rsidR="00AE125B" w:rsidRPr="00AE125B" w:rsidRDefault="00AE125B" w:rsidP="00110A95">
      <w:pPr>
        <w:pStyle w:val="BodyText"/>
        <w:ind w:left="2160"/>
        <w:rPr>
          <w:lang w:val="en-GB"/>
        </w:rPr>
      </w:pPr>
      <w:r w:rsidRPr="00AE125B">
        <w:rPr>
          <w:noProof/>
          <w:lang w:eastAsia="en-AU"/>
        </w:rPr>
        <w:drawing>
          <wp:inline distT="0" distB="0" distL="0" distR="0" wp14:anchorId="11DE8714" wp14:editId="7FDE07E5">
            <wp:extent cx="1726387" cy="1140461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57" t="58751" r="53469" b="13646"/>
                    <a:stretch/>
                  </pic:blipFill>
                  <pic:spPr bwMode="auto">
                    <a:xfrm>
                      <a:off x="0" y="0"/>
                      <a:ext cx="1751461" cy="115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4304E" w14:textId="718E3D26" w:rsidR="00AE125B" w:rsidRPr="00AE125B" w:rsidRDefault="00AE125B" w:rsidP="005934A5">
      <w:pPr>
        <w:pStyle w:val="BodyText"/>
        <w:ind w:left="1134"/>
        <w:rPr>
          <w:lang w:val="en-GB"/>
        </w:rPr>
      </w:pPr>
    </w:p>
    <w:p w14:paraId="0A0AFB87" w14:textId="7AC78568" w:rsidR="00403FC2" w:rsidRPr="00AE125B" w:rsidRDefault="00B65E39" w:rsidP="00B65E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273"/>
        <w:rPr>
          <w:lang w:val="en-GB"/>
        </w:rPr>
      </w:pPr>
      <w:r w:rsidRPr="00AE125B">
        <w:rPr>
          <w:noProof/>
          <w:lang w:eastAsia="en-AU"/>
        </w:rPr>
        <w:drawing>
          <wp:inline distT="0" distB="0" distL="0" distR="0" wp14:anchorId="35026247" wp14:editId="2DA88D7B">
            <wp:extent cx="180975" cy="2571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25B" w:rsidRPr="00110A95">
        <w:rPr>
          <w:b/>
          <w:sz w:val="16"/>
          <w:lang w:val="en-GB"/>
        </w:rPr>
        <w:t>TIP</w:t>
      </w:r>
      <w:r w:rsidR="00583573" w:rsidRPr="00110A95">
        <w:rPr>
          <w:sz w:val="16"/>
          <w:lang w:val="en-GB"/>
        </w:rPr>
        <w:t xml:space="preserve"> – You can also select a chart</w:t>
      </w:r>
      <w:r w:rsidR="00AE125B" w:rsidRPr="00110A95">
        <w:rPr>
          <w:sz w:val="16"/>
          <w:lang w:val="en-GB"/>
        </w:rPr>
        <w:t xml:space="preserve">string to edit from other tabs in the </w:t>
      </w:r>
      <w:r w:rsidR="00583573" w:rsidRPr="00110A95">
        <w:rPr>
          <w:sz w:val="16"/>
          <w:lang w:val="en-GB"/>
        </w:rPr>
        <w:t>workbook by selecting the chart</w:t>
      </w:r>
      <w:r w:rsidR="00AE125B" w:rsidRPr="00110A95">
        <w:rPr>
          <w:sz w:val="16"/>
          <w:lang w:val="en-GB"/>
        </w:rPr>
        <w:t>string you want to edit and clicking</w:t>
      </w:r>
      <w:r w:rsidR="00AE125B" w:rsidRPr="00110A95">
        <w:rPr>
          <w:noProof/>
          <w:sz w:val="16"/>
          <w:lang w:eastAsia="en-AU"/>
        </w:rPr>
        <w:drawing>
          <wp:inline distT="0" distB="0" distL="0" distR="0" wp14:anchorId="1320E027" wp14:editId="6F43EC17">
            <wp:extent cx="276225" cy="2571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25B" w:rsidRPr="00110A95">
        <w:rPr>
          <w:sz w:val="16"/>
          <w:lang w:val="en-GB"/>
        </w:rPr>
        <w:t xml:space="preserve">- this will take you to the </w:t>
      </w:r>
      <w:r w:rsidR="00FD69B4" w:rsidRPr="00110A95">
        <w:rPr>
          <w:b/>
          <w:color w:val="7030A0"/>
          <w:sz w:val="16"/>
          <w:lang w:val="en-GB"/>
        </w:rPr>
        <w:t>Edit</w:t>
      </w:r>
      <w:r w:rsidR="00FD69B4" w:rsidRPr="00110A95">
        <w:rPr>
          <w:sz w:val="16"/>
          <w:lang w:val="en-GB"/>
        </w:rPr>
        <w:t xml:space="preserve"> </w:t>
      </w:r>
      <w:r w:rsidR="00AE125B" w:rsidRPr="00110A95">
        <w:rPr>
          <w:sz w:val="16"/>
          <w:lang w:val="en-GB"/>
        </w:rPr>
        <w:t xml:space="preserve">tab and load the </w:t>
      </w:r>
      <w:r w:rsidR="00CB4249" w:rsidRPr="00110A95">
        <w:rPr>
          <w:sz w:val="16"/>
          <w:lang w:val="en-GB"/>
        </w:rPr>
        <w:t>latest forecast data for that c</w:t>
      </w:r>
      <w:r w:rsidR="00583573" w:rsidRPr="00110A95">
        <w:rPr>
          <w:sz w:val="16"/>
          <w:lang w:val="en-GB"/>
        </w:rPr>
        <w:t>hart</w:t>
      </w:r>
      <w:r w:rsidR="00CB4249" w:rsidRPr="00110A95">
        <w:rPr>
          <w:sz w:val="16"/>
          <w:lang w:val="en-GB"/>
        </w:rPr>
        <w:t>s</w:t>
      </w:r>
      <w:r w:rsidR="00AE125B" w:rsidRPr="00110A95">
        <w:rPr>
          <w:sz w:val="16"/>
          <w:lang w:val="en-GB"/>
        </w:rPr>
        <w:t>tring</w:t>
      </w:r>
      <w:r w:rsidR="00AE125B" w:rsidRPr="00AE125B">
        <w:rPr>
          <w:lang w:val="en-GB"/>
        </w:rPr>
        <w:t>.</w:t>
      </w:r>
    </w:p>
    <w:p w14:paraId="76AD3233" w14:textId="77777777" w:rsidR="00AE125B" w:rsidRPr="00AE125B" w:rsidRDefault="00AE125B" w:rsidP="00AE125B">
      <w:pPr>
        <w:pStyle w:val="BodyText"/>
        <w:ind w:left="720"/>
        <w:rPr>
          <w:lang w:val="en-GB"/>
        </w:rPr>
      </w:pPr>
    </w:p>
    <w:p w14:paraId="3E896BE0" w14:textId="059F8DD5" w:rsidR="00170398" w:rsidRPr="00170398" w:rsidRDefault="00490326" w:rsidP="008F1732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>Ensure</w:t>
      </w:r>
      <w:r w:rsidR="00170398" w:rsidRPr="00170398">
        <w:rPr>
          <w:lang w:val="en-GB"/>
        </w:rPr>
        <w:t xml:space="preserve"> future </w:t>
      </w:r>
      <w:r w:rsidR="00C45C94">
        <w:rPr>
          <w:lang w:val="en-GB"/>
        </w:rPr>
        <w:t xml:space="preserve">forecast </w:t>
      </w:r>
      <w:r w:rsidR="00170398" w:rsidRPr="00170398">
        <w:rPr>
          <w:lang w:val="en-GB"/>
        </w:rPr>
        <w:t xml:space="preserve">years </w:t>
      </w:r>
      <w:r>
        <w:rPr>
          <w:lang w:val="en-GB"/>
        </w:rPr>
        <w:t xml:space="preserve">are </w:t>
      </w:r>
      <w:r w:rsidR="00C45C94">
        <w:rPr>
          <w:lang w:val="en-GB"/>
        </w:rPr>
        <w:t>displayed</w:t>
      </w:r>
      <w:r w:rsidR="00170398" w:rsidRPr="00170398">
        <w:rPr>
          <w:lang w:val="en-GB"/>
        </w:rPr>
        <w:t xml:space="preserve"> – if they are hidden on the worksheet clicking on</w:t>
      </w:r>
      <w:r w:rsidR="00170398" w:rsidRPr="00170398">
        <w:rPr>
          <w:noProof/>
          <w:lang w:eastAsia="en-AU"/>
        </w:rPr>
        <w:drawing>
          <wp:inline distT="0" distB="0" distL="0" distR="0" wp14:anchorId="38FC456B" wp14:editId="40FFF9EE">
            <wp:extent cx="257175" cy="257175"/>
            <wp:effectExtent l="19050" t="0" r="9525" b="0"/>
            <wp:docPr id="1692704" name="Picture 169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398" w:rsidRPr="00170398">
        <w:rPr>
          <w:lang w:val="en-GB"/>
        </w:rPr>
        <w:t xml:space="preserve"> from the Workbook Menu will unhide these data</w:t>
      </w:r>
      <w:r w:rsidR="00C45C94">
        <w:rPr>
          <w:lang w:val="en-GB"/>
        </w:rPr>
        <w:t xml:space="preserve"> columns</w:t>
      </w:r>
      <w:r w:rsidR="00170398" w:rsidRPr="00170398">
        <w:rPr>
          <w:lang w:val="en-GB"/>
        </w:rPr>
        <w:t xml:space="preserve">. </w:t>
      </w:r>
      <w:r w:rsidR="00C45C94">
        <w:rPr>
          <w:lang w:val="en-GB"/>
        </w:rPr>
        <w:t>Next</w:t>
      </w:r>
      <w:r w:rsidR="00170398" w:rsidRPr="00170398">
        <w:rPr>
          <w:lang w:val="en-GB"/>
        </w:rPr>
        <w:t xml:space="preserve"> </w:t>
      </w:r>
      <w:r w:rsidR="00527AD4">
        <w:rPr>
          <w:lang w:val="en-GB"/>
        </w:rPr>
        <w:t>Y</w:t>
      </w:r>
      <w:r w:rsidR="00170398" w:rsidRPr="00170398">
        <w:rPr>
          <w:lang w:val="en-GB"/>
        </w:rPr>
        <w:t>ear</w:t>
      </w:r>
      <w:r w:rsidR="00C45C94">
        <w:rPr>
          <w:lang w:val="en-GB"/>
        </w:rPr>
        <w:t xml:space="preserve"> data will </w:t>
      </w:r>
      <w:r w:rsidR="00170398" w:rsidRPr="00170398">
        <w:rPr>
          <w:lang w:val="en-GB"/>
        </w:rPr>
        <w:t xml:space="preserve">need to </w:t>
      </w:r>
      <w:r w:rsidR="00C45C94">
        <w:rPr>
          <w:lang w:val="en-GB"/>
        </w:rPr>
        <w:t xml:space="preserve">be </w:t>
      </w:r>
      <w:r w:rsidR="00170398" w:rsidRPr="00170398">
        <w:rPr>
          <w:lang w:val="en-GB"/>
        </w:rPr>
        <w:t>enter</w:t>
      </w:r>
      <w:r w:rsidR="00C45C94">
        <w:rPr>
          <w:lang w:val="en-GB"/>
        </w:rPr>
        <w:t>ed</w:t>
      </w:r>
      <w:r w:rsidR="00170398" w:rsidRPr="00170398">
        <w:rPr>
          <w:lang w:val="en-GB"/>
        </w:rPr>
        <w:t xml:space="preserve"> </w:t>
      </w:r>
      <w:r w:rsidR="00C45C94">
        <w:rPr>
          <w:lang w:val="en-GB"/>
        </w:rPr>
        <w:t xml:space="preserve">and </w:t>
      </w:r>
      <w:r w:rsidR="00170398" w:rsidRPr="00170398">
        <w:rPr>
          <w:lang w:val="en-GB"/>
        </w:rPr>
        <w:t>phased by month</w:t>
      </w:r>
      <w:r w:rsidR="00C45C94">
        <w:rPr>
          <w:lang w:val="en-GB"/>
        </w:rPr>
        <w:t>. If the monthly columns are not shown, c</w:t>
      </w:r>
      <w:r w:rsidR="00170398" w:rsidRPr="00170398">
        <w:rPr>
          <w:lang w:val="en-GB"/>
        </w:rPr>
        <w:t>licking on</w:t>
      </w:r>
      <w:r w:rsidR="00170398" w:rsidRPr="00170398">
        <w:rPr>
          <w:noProof/>
          <w:lang w:eastAsia="en-AU"/>
        </w:rPr>
        <w:drawing>
          <wp:inline distT="0" distB="0" distL="0" distR="0" wp14:anchorId="3723F40E" wp14:editId="795699B2">
            <wp:extent cx="257175" cy="257175"/>
            <wp:effectExtent l="19050" t="0" r="9525" b="0"/>
            <wp:docPr id="1692705" name="Picture 169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="00170398" w:rsidRPr="00170398">
        <w:rPr>
          <w:lang w:val="en-GB"/>
        </w:rPr>
        <w:t xml:space="preserve">will </w:t>
      </w:r>
      <w:r w:rsidR="00C45C94">
        <w:rPr>
          <w:lang w:val="en-GB"/>
        </w:rPr>
        <w:t xml:space="preserve">toggle views between annual and </w:t>
      </w:r>
      <w:r w:rsidR="00170398" w:rsidRPr="00170398">
        <w:rPr>
          <w:lang w:val="en-GB"/>
        </w:rPr>
        <w:t xml:space="preserve">monthly </w:t>
      </w:r>
      <w:r w:rsidR="00C45C94">
        <w:rPr>
          <w:lang w:val="en-GB"/>
        </w:rPr>
        <w:t>breakdown</w:t>
      </w:r>
      <w:r w:rsidR="00170398" w:rsidRPr="00170398">
        <w:rPr>
          <w:lang w:val="en-GB"/>
        </w:rPr>
        <w:t>.</w:t>
      </w:r>
    </w:p>
    <w:p w14:paraId="598B08D6" w14:textId="77777777" w:rsidR="00AE125B" w:rsidRPr="00AE125B" w:rsidRDefault="00AE125B" w:rsidP="00AE125B">
      <w:pPr>
        <w:pStyle w:val="BodyText"/>
        <w:ind w:left="720"/>
        <w:rPr>
          <w:lang w:val="en-GB"/>
        </w:rPr>
      </w:pPr>
      <w:r w:rsidRPr="00AE125B">
        <w:rPr>
          <w:lang w:val="en-GB"/>
        </w:rPr>
        <w:t xml:space="preserve"> </w:t>
      </w:r>
    </w:p>
    <w:p w14:paraId="4C942098" w14:textId="2B131B94" w:rsidR="00170398" w:rsidRDefault="00170398" w:rsidP="008F1732">
      <w:pPr>
        <w:pStyle w:val="BodyText"/>
        <w:numPr>
          <w:ilvl w:val="0"/>
          <w:numId w:val="16"/>
        </w:numPr>
        <w:rPr>
          <w:lang w:val="en-GB"/>
        </w:rPr>
      </w:pPr>
      <w:r w:rsidRPr="00170398">
        <w:rPr>
          <w:lang w:val="en-GB"/>
        </w:rPr>
        <w:t>The starting view for this worksheet is at the sub-total level</w:t>
      </w:r>
      <w:r w:rsidR="00F04C90">
        <w:rPr>
          <w:lang w:val="en-GB"/>
        </w:rPr>
        <w:t xml:space="preserve"> (</w:t>
      </w:r>
      <w:proofErr w:type="spellStart"/>
      <w:r w:rsidR="00F04C90" w:rsidRPr="00F04C90">
        <w:rPr>
          <w:i/>
          <w:lang w:val="en-GB"/>
        </w:rPr>
        <w:t>ie</w:t>
      </w:r>
      <w:proofErr w:type="spellEnd"/>
      <w:r w:rsidR="00F04C90" w:rsidRPr="00F04C90">
        <w:rPr>
          <w:i/>
          <w:lang w:val="en-GB"/>
        </w:rPr>
        <w:t>. L5 account</w:t>
      </w:r>
      <w:r w:rsidR="00F04C90">
        <w:rPr>
          <w:i/>
          <w:lang w:val="en-GB"/>
        </w:rPr>
        <w:t xml:space="preserve"> level</w:t>
      </w:r>
      <w:r w:rsidR="00F04C90">
        <w:rPr>
          <w:lang w:val="en-GB"/>
        </w:rPr>
        <w:t>)</w:t>
      </w:r>
      <w:r w:rsidRPr="00170398">
        <w:rPr>
          <w:lang w:val="en-GB"/>
        </w:rPr>
        <w:t xml:space="preserve"> – you cannot enter data at this level and will need to drill down to the next level </w:t>
      </w:r>
      <w:r w:rsidR="00F04C90">
        <w:rPr>
          <w:lang w:val="en-GB"/>
        </w:rPr>
        <w:t>(</w:t>
      </w:r>
      <w:r w:rsidR="00F04C90" w:rsidRPr="00F04C90">
        <w:rPr>
          <w:i/>
          <w:lang w:val="en-GB"/>
        </w:rPr>
        <w:t>L6 account level</w:t>
      </w:r>
      <w:r w:rsidR="00F04C90">
        <w:rPr>
          <w:lang w:val="en-GB"/>
        </w:rPr>
        <w:t xml:space="preserve">) </w:t>
      </w:r>
      <w:r w:rsidRPr="00170398">
        <w:rPr>
          <w:lang w:val="en-GB"/>
        </w:rPr>
        <w:t xml:space="preserve">to enter data – the area where data entry is allowed is highlighted in </w:t>
      </w:r>
      <w:r w:rsidRPr="00527AD4">
        <w:rPr>
          <w:color w:val="00B050"/>
          <w:lang w:val="en-GB"/>
        </w:rPr>
        <w:t>light green</w:t>
      </w:r>
      <w:r w:rsidRPr="00170398">
        <w:rPr>
          <w:lang w:val="en-GB"/>
        </w:rPr>
        <w:t>.</w:t>
      </w:r>
      <w:r>
        <w:rPr>
          <w:lang w:val="en-GB"/>
        </w:rPr>
        <w:t xml:space="preserve"> </w:t>
      </w:r>
    </w:p>
    <w:p w14:paraId="51AB584B" w14:textId="77777777" w:rsidR="006B1E32" w:rsidRDefault="006B1E32" w:rsidP="004554CC">
      <w:pPr>
        <w:pStyle w:val="BodyText"/>
        <w:ind w:left="720"/>
        <w:rPr>
          <w:lang w:val="en-GB"/>
        </w:rPr>
      </w:pPr>
    </w:p>
    <w:p w14:paraId="6D91CA4A" w14:textId="6C248FBE" w:rsidR="00170398" w:rsidRPr="00170398" w:rsidRDefault="00C01E9F" w:rsidP="004554CC">
      <w:pPr>
        <w:pStyle w:val="BodyText"/>
        <w:ind w:left="720"/>
        <w:rPr>
          <w:lang w:val="en-GB"/>
        </w:rPr>
      </w:pPr>
      <w:r>
        <w:rPr>
          <w:lang w:val="en-GB"/>
        </w:rPr>
        <w:t>Un</w:t>
      </w:r>
      <w:r w:rsidR="00170398" w:rsidRPr="00170398">
        <w:rPr>
          <w:lang w:val="en-GB"/>
        </w:rPr>
        <w:t xml:space="preserve">hide data entry areas </w:t>
      </w:r>
      <w:r>
        <w:rPr>
          <w:lang w:val="en-GB"/>
        </w:rPr>
        <w:t xml:space="preserve">can be done </w:t>
      </w:r>
      <w:r w:rsidR="00170398" w:rsidRPr="00170398">
        <w:rPr>
          <w:lang w:val="en-GB"/>
        </w:rPr>
        <w:t>either</w:t>
      </w:r>
      <w:r>
        <w:rPr>
          <w:lang w:val="en-GB"/>
        </w:rPr>
        <w:t xml:space="preserve"> by</w:t>
      </w:r>
      <w:r w:rsidR="00170398" w:rsidRPr="00170398">
        <w:rPr>
          <w:lang w:val="en-GB"/>
        </w:rPr>
        <w:t>:</w:t>
      </w:r>
    </w:p>
    <w:p w14:paraId="0D0A665B" w14:textId="77777777" w:rsidR="00170398" w:rsidRPr="00170398" w:rsidRDefault="00170398" w:rsidP="008F1732">
      <w:pPr>
        <w:pStyle w:val="BodyText"/>
        <w:numPr>
          <w:ilvl w:val="0"/>
          <w:numId w:val="17"/>
        </w:numPr>
        <w:rPr>
          <w:lang w:val="en-GB"/>
        </w:rPr>
      </w:pPr>
      <w:r w:rsidRPr="00170398">
        <w:rPr>
          <w:lang w:val="en-GB"/>
        </w:rPr>
        <w:t xml:space="preserve">Unhide All rows by clicking </w:t>
      </w:r>
      <w:r w:rsidRPr="00170398">
        <w:rPr>
          <w:noProof/>
          <w:lang w:eastAsia="en-AU"/>
        </w:rPr>
        <w:drawing>
          <wp:inline distT="0" distB="0" distL="0" distR="0" wp14:anchorId="50DCE03A" wp14:editId="4493019D">
            <wp:extent cx="257175" cy="266700"/>
            <wp:effectExtent l="19050" t="0" r="9525" b="0"/>
            <wp:docPr id="1692706" name="Picture 169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57312" w14:textId="77777777" w:rsidR="00170398" w:rsidRPr="00170398" w:rsidRDefault="00170398" w:rsidP="008F1732">
      <w:pPr>
        <w:pStyle w:val="BodyText"/>
        <w:numPr>
          <w:ilvl w:val="0"/>
          <w:numId w:val="17"/>
        </w:numPr>
        <w:rPr>
          <w:lang w:val="en-GB"/>
        </w:rPr>
      </w:pPr>
      <w:r w:rsidRPr="00170398">
        <w:rPr>
          <w:lang w:val="en-GB"/>
        </w:rPr>
        <w:t>Unhide One Row by selecting the row you want to edit and clicking</w:t>
      </w:r>
      <w:r w:rsidRPr="00170398">
        <w:rPr>
          <w:noProof/>
          <w:lang w:eastAsia="en-AU"/>
        </w:rPr>
        <w:drawing>
          <wp:inline distT="0" distB="0" distL="0" distR="0" wp14:anchorId="56B1B721" wp14:editId="7ACB57AF">
            <wp:extent cx="266700" cy="266700"/>
            <wp:effectExtent l="19050" t="0" r="0" b="0"/>
            <wp:docPr id="1692707" name="Picture 169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C545A" w14:textId="77777777" w:rsidR="00170398" w:rsidRPr="00170398" w:rsidRDefault="00170398" w:rsidP="008F1732">
      <w:pPr>
        <w:pStyle w:val="BodyText"/>
        <w:numPr>
          <w:ilvl w:val="0"/>
          <w:numId w:val="17"/>
        </w:numPr>
        <w:rPr>
          <w:lang w:val="en-GB"/>
        </w:rPr>
      </w:pPr>
      <w:r w:rsidRPr="00170398">
        <w:rPr>
          <w:lang w:val="en-GB"/>
        </w:rPr>
        <w:t>Using</w:t>
      </w:r>
      <w:r w:rsidRPr="00170398">
        <w:rPr>
          <w:noProof/>
          <w:lang w:eastAsia="en-AU"/>
        </w:rPr>
        <w:drawing>
          <wp:inline distT="0" distB="0" distL="0" distR="0" wp14:anchorId="65EFC796" wp14:editId="3AC8BECD">
            <wp:extent cx="257175" cy="257175"/>
            <wp:effectExtent l="19050" t="0" r="9525" b="0"/>
            <wp:docPr id="1692708" name="Picture 169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98">
        <w:rPr>
          <w:lang w:val="en-GB"/>
        </w:rPr>
        <w:t xml:space="preserve"> or</w:t>
      </w:r>
      <w:r w:rsidRPr="00170398">
        <w:rPr>
          <w:noProof/>
          <w:lang w:eastAsia="en-AU"/>
        </w:rPr>
        <w:drawing>
          <wp:inline distT="0" distB="0" distL="0" distR="0" wp14:anchorId="424C9B3C" wp14:editId="0FEC21B2">
            <wp:extent cx="257175" cy="266700"/>
            <wp:effectExtent l="19050" t="0" r="9525" b="0"/>
            <wp:docPr id="1692709" name="Picture 169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98">
        <w:rPr>
          <w:lang w:val="en-GB"/>
        </w:rPr>
        <w:t xml:space="preserve"> respectively will re-hide these rows to show only sub-total accounts again</w:t>
      </w:r>
    </w:p>
    <w:p w14:paraId="033B5B70" w14:textId="77777777" w:rsidR="00AE125B" w:rsidRPr="00AE125B" w:rsidRDefault="00AE125B" w:rsidP="00AE125B">
      <w:pPr>
        <w:pStyle w:val="BodyText"/>
        <w:ind w:left="284"/>
        <w:rPr>
          <w:lang w:val="en-GB"/>
        </w:rPr>
      </w:pPr>
    </w:p>
    <w:p w14:paraId="7770C49A" w14:textId="2EE9CC73" w:rsidR="00AE125B" w:rsidRPr="00AE125B" w:rsidRDefault="00AE125B" w:rsidP="00AE125B">
      <w:pPr>
        <w:pStyle w:val="BodyText"/>
        <w:ind w:left="720"/>
        <w:rPr>
          <w:lang w:val="en-GB"/>
        </w:rPr>
      </w:pPr>
    </w:p>
    <w:p w14:paraId="3C334573" w14:textId="11F9E11F" w:rsidR="00AE125B" w:rsidRPr="00110A95" w:rsidRDefault="00B65E39" w:rsidP="00B65E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273"/>
        <w:rPr>
          <w:sz w:val="16"/>
          <w:lang w:val="en-GB"/>
        </w:rPr>
      </w:pPr>
      <w:r w:rsidRPr="00AE125B">
        <w:rPr>
          <w:noProof/>
          <w:lang w:eastAsia="en-AU"/>
        </w:rPr>
        <w:drawing>
          <wp:inline distT="0" distB="0" distL="0" distR="0" wp14:anchorId="415131D3" wp14:editId="41E9D613">
            <wp:extent cx="18097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25B" w:rsidRPr="00110A95">
        <w:rPr>
          <w:b/>
          <w:sz w:val="16"/>
          <w:lang w:val="en-GB"/>
        </w:rPr>
        <w:t>TIP</w:t>
      </w:r>
      <w:r w:rsidR="00552285" w:rsidRPr="00110A95">
        <w:rPr>
          <w:sz w:val="16"/>
          <w:lang w:val="en-GB"/>
        </w:rPr>
        <w:t xml:space="preserve"> – </w:t>
      </w:r>
      <w:r w:rsidR="00370522" w:rsidRPr="00110A95">
        <w:rPr>
          <w:rFonts w:ascii="Calibri" w:hAnsi="Calibri" w:cs="Arial"/>
          <w:sz w:val="16"/>
          <w:szCs w:val="20"/>
        </w:rPr>
        <w:t>You can also Double-click on the Rows under each Ac</w:t>
      </w:r>
      <w:r w:rsidR="00A61550">
        <w:rPr>
          <w:rFonts w:ascii="Calibri" w:hAnsi="Calibri" w:cs="Arial"/>
          <w:sz w:val="16"/>
          <w:szCs w:val="20"/>
        </w:rPr>
        <w:t>count Level o</w:t>
      </w:r>
      <w:r w:rsidR="00181E51" w:rsidRPr="00110A95">
        <w:rPr>
          <w:rFonts w:ascii="Calibri" w:hAnsi="Calibri" w:cs="Arial"/>
          <w:sz w:val="16"/>
          <w:szCs w:val="20"/>
        </w:rPr>
        <w:t>n the Edit tab to d</w:t>
      </w:r>
      <w:r w:rsidR="00370522" w:rsidRPr="00110A95">
        <w:rPr>
          <w:rFonts w:ascii="Calibri" w:hAnsi="Calibri" w:cs="Arial"/>
          <w:sz w:val="16"/>
          <w:szCs w:val="20"/>
        </w:rPr>
        <w:t xml:space="preserve">rill </w:t>
      </w:r>
      <w:r w:rsidR="00181E51" w:rsidRPr="00110A95">
        <w:rPr>
          <w:rFonts w:ascii="Calibri" w:hAnsi="Calibri" w:cs="Arial"/>
          <w:sz w:val="16"/>
          <w:szCs w:val="20"/>
        </w:rPr>
        <w:t>d</w:t>
      </w:r>
      <w:r w:rsidR="00370522" w:rsidRPr="00110A95">
        <w:rPr>
          <w:rFonts w:ascii="Calibri" w:hAnsi="Calibri" w:cs="Arial"/>
          <w:sz w:val="16"/>
          <w:szCs w:val="20"/>
        </w:rPr>
        <w:t xml:space="preserve">own or </w:t>
      </w:r>
      <w:r w:rsidR="00181E51" w:rsidRPr="00110A95">
        <w:rPr>
          <w:rFonts w:ascii="Calibri" w:hAnsi="Calibri" w:cs="Arial"/>
          <w:sz w:val="16"/>
          <w:szCs w:val="20"/>
        </w:rPr>
        <w:t>u</w:t>
      </w:r>
      <w:r w:rsidR="00370522" w:rsidRPr="00110A95">
        <w:rPr>
          <w:rFonts w:ascii="Calibri" w:hAnsi="Calibri" w:cs="Arial"/>
          <w:sz w:val="16"/>
          <w:szCs w:val="20"/>
        </w:rPr>
        <w:t>p a level.  Similarly</w:t>
      </w:r>
      <w:r w:rsidR="001B24ED" w:rsidRPr="00110A95">
        <w:rPr>
          <w:rFonts w:ascii="Calibri" w:hAnsi="Calibri" w:cs="Arial"/>
          <w:sz w:val="16"/>
          <w:szCs w:val="20"/>
        </w:rPr>
        <w:t>,</w:t>
      </w:r>
      <w:r w:rsidR="00370522" w:rsidRPr="00110A95">
        <w:rPr>
          <w:rFonts w:ascii="Calibri" w:hAnsi="Calibri" w:cs="Arial"/>
          <w:sz w:val="16"/>
          <w:szCs w:val="20"/>
        </w:rPr>
        <w:t xml:space="preserve"> double-clicking on Period or annual column will show/hide month-on-month data.</w:t>
      </w:r>
    </w:p>
    <w:p w14:paraId="15FC3036" w14:textId="2DEB5039" w:rsidR="00AE125B" w:rsidRPr="00AE125B" w:rsidRDefault="00AE125B" w:rsidP="00AE125B">
      <w:pPr>
        <w:pStyle w:val="BodyText"/>
        <w:ind w:left="720"/>
        <w:rPr>
          <w:lang w:val="en-GB"/>
        </w:rPr>
      </w:pPr>
    </w:p>
    <w:p w14:paraId="5BBC2E22" w14:textId="169EC929" w:rsidR="0028383C" w:rsidRPr="00110A95" w:rsidRDefault="00E72DBE" w:rsidP="008F1732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lastRenderedPageBreak/>
        <w:t xml:space="preserve">Enter the require </w:t>
      </w:r>
      <w:r w:rsidR="00022182" w:rsidRPr="00022182">
        <w:rPr>
          <w:lang w:val="en-GB"/>
        </w:rPr>
        <w:t>forecast</w:t>
      </w:r>
      <w:r>
        <w:rPr>
          <w:lang w:val="en-GB"/>
        </w:rPr>
        <w:t>s</w:t>
      </w:r>
      <w:r w:rsidR="00022182" w:rsidRPr="00022182">
        <w:rPr>
          <w:lang w:val="en-GB"/>
        </w:rPr>
        <w:t xml:space="preserve"> and </w:t>
      </w:r>
      <w:r w:rsidR="001B24ED">
        <w:rPr>
          <w:lang w:val="en-GB"/>
        </w:rPr>
        <w:t>confirm</w:t>
      </w:r>
      <w:r>
        <w:rPr>
          <w:lang w:val="en-GB"/>
        </w:rPr>
        <w:t xml:space="preserve"> each</w:t>
      </w:r>
      <w:r w:rsidR="00022182" w:rsidRPr="00022182">
        <w:rPr>
          <w:lang w:val="en-GB"/>
        </w:rPr>
        <w:t xml:space="preserve"> Full Year totals</w:t>
      </w:r>
      <w:bookmarkStart w:id="0" w:name="_GoBack"/>
      <w:r w:rsidR="00022182" w:rsidRPr="00022182">
        <w:rPr>
          <w:lang w:val="en-GB"/>
        </w:rPr>
        <w:t xml:space="preserve"> in </w:t>
      </w:r>
      <w:bookmarkEnd w:id="0"/>
      <w:r w:rsidR="00022182" w:rsidRPr="00022182">
        <w:rPr>
          <w:lang w:val="en-GB"/>
        </w:rPr>
        <w:t xml:space="preserve">columns </w:t>
      </w:r>
      <w:r w:rsidR="00B20D80">
        <w:rPr>
          <w:lang w:val="en-GB"/>
        </w:rPr>
        <w:t>AO</w:t>
      </w:r>
      <w:r w:rsidR="00022182" w:rsidRPr="00022182">
        <w:rPr>
          <w:lang w:val="en-GB"/>
        </w:rPr>
        <w:t xml:space="preserve">, </w:t>
      </w:r>
      <w:proofErr w:type="spellStart"/>
      <w:r w:rsidR="00B20D80">
        <w:rPr>
          <w:lang w:val="en-GB"/>
        </w:rPr>
        <w:t>AQ</w:t>
      </w:r>
      <w:proofErr w:type="spellEnd"/>
      <w:r w:rsidR="00022182" w:rsidRPr="00022182">
        <w:rPr>
          <w:lang w:val="en-GB"/>
        </w:rPr>
        <w:t xml:space="preserve">, </w:t>
      </w:r>
      <w:r w:rsidR="00B20D80">
        <w:rPr>
          <w:lang w:val="en-GB"/>
        </w:rPr>
        <w:t>AS</w:t>
      </w:r>
      <w:r w:rsidR="00022182" w:rsidRPr="00022182">
        <w:rPr>
          <w:lang w:val="en-GB"/>
        </w:rPr>
        <w:t xml:space="preserve"> &amp; </w:t>
      </w:r>
      <w:r w:rsidR="00B20D80">
        <w:rPr>
          <w:lang w:val="en-GB"/>
        </w:rPr>
        <w:t>AU</w:t>
      </w:r>
      <w:r w:rsidR="00022182" w:rsidRPr="00022182">
        <w:rPr>
          <w:lang w:val="en-GB"/>
        </w:rPr>
        <w:t xml:space="preserve"> are as expected</w:t>
      </w:r>
      <w:r w:rsidR="001B24ED">
        <w:rPr>
          <w:lang w:val="en-GB"/>
        </w:rPr>
        <w:t xml:space="preserve"> before proceeding</w:t>
      </w:r>
      <w:r w:rsidR="00022182" w:rsidRPr="00022182">
        <w:rPr>
          <w:lang w:val="en-GB"/>
        </w:rPr>
        <w:t>.</w:t>
      </w:r>
      <w:r w:rsidR="0028383C" w:rsidRPr="0028383C">
        <w:rPr>
          <w:noProof/>
          <w:lang w:eastAsia="en-AU"/>
        </w:rPr>
        <w:t xml:space="preserve"> </w:t>
      </w:r>
    </w:p>
    <w:p w14:paraId="6497EEFA" w14:textId="77777777" w:rsidR="00110A95" w:rsidRPr="0028383C" w:rsidRDefault="00110A95" w:rsidP="00110A95">
      <w:pPr>
        <w:pStyle w:val="BodyText"/>
        <w:ind w:left="360"/>
        <w:rPr>
          <w:lang w:val="en-GB"/>
        </w:rPr>
      </w:pPr>
    </w:p>
    <w:p w14:paraId="7981A198" w14:textId="6EE82ABB" w:rsidR="00022182" w:rsidRPr="00022182" w:rsidRDefault="0028383C" w:rsidP="0028383C">
      <w:pPr>
        <w:pStyle w:val="BodyText"/>
        <w:ind w:left="360"/>
        <w:rPr>
          <w:lang w:val="en-GB"/>
        </w:rPr>
      </w:pPr>
      <w:r>
        <w:rPr>
          <w:noProof/>
          <w:lang w:eastAsia="en-AU"/>
        </w:rPr>
        <w:drawing>
          <wp:inline distT="0" distB="0" distL="0" distR="0" wp14:anchorId="6B544492" wp14:editId="26093F8A">
            <wp:extent cx="4813487" cy="1572768"/>
            <wp:effectExtent l="0" t="0" r="6350" b="8890"/>
            <wp:docPr id="1692711" name="Picture 169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5768" r="1820" b="3309"/>
                    <a:stretch/>
                  </pic:blipFill>
                  <pic:spPr bwMode="auto">
                    <a:xfrm>
                      <a:off x="0" y="0"/>
                      <a:ext cx="4898208" cy="1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786A4" w14:textId="77777777" w:rsidR="00AE125B" w:rsidRPr="00AE125B" w:rsidRDefault="00AE125B" w:rsidP="00AE125B">
      <w:pPr>
        <w:pStyle w:val="BodyText"/>
        <w:ind w:left="720"/>
        <w:rPr>
          <w:lang w:val="en-GB"/>
        </w:rPr>
      </w:pPr>
      <w:r w:rsidRPr="00AE125B">
        <w:rPr>
          <w:lang w:val="en-GB"/>
        </w:rPr>
        <w:t xml:space="preserve">  </w:t>
      </w:r>
    </w:p>
    <w:p w14:paraId="2443E2F7" w14:textId="2C9255D7" w:rsidR="00022182" w:rsidRDefault="00022182" w:rsidP="008F1732">
      <w:pPr>
        <w:pStyle w:val="BodyText"/>
        <w:numPr>
          <w:ilvl w:val="0"/>
          <w:numId w:val="16"/>
        </w:numPr>
        <w:rPr>
          <w:lang w:val="en-GB"/>
        </w:rPr>
      </w:pPr>
      <w:r w:rsidRPr="00022182">
        <w:rPr>
          <w:lang w:val="en-GB"/>
        </w:rPr>
        <w:t>You can enter Next Year forecast data by manually keying the data into the worksheet.</w:t>
      </w:r>
      <w:r w:rsidR="00E72DBE">
        <w:rPr>
          <w:lang w:val="en-GB"/>
        </w:rPr>
        <w:t xml:space="preserve">  This can be done in</w:t>
      </w:r>
      <w:r w:rsidRPr="00022182">
        <w:rPr>
          <w:lang w:val="en-GB"/>
        </w:rPr>
        <w:t xml:space="preserve"> </w:t>
      </w:r>
      <w:r w:rsidR="00E72DBE">
        <w:rPr>
          <w:lang w:val="en-GB"/>
        </w:rPr>
        <w:t xml:space="preserve">a </w:t>
      </w:r>
      <w:r w:rsidRPr="00022182">
        <w:rPr>
          <w:lang w:val="en-GB"/>
        </w:rPr>
        <w:t>month-on-month basis by selecting  [</w:t>
      </w:r>
      <w:r w:rsidRPr="00181E51">
        <w:rPr>
          <w:b/>
          <w:color w:val="7030A0"/>
          <w:lang w:val="en-GB"/>
        </w:rPr>
        <w:t>By Month</w:t>
      </w:r>
      <w:r w:rsidRPr="00022182">
        <w:rPr>
          <w:lang w:val="en-GB"/>
        </w:rPr>
        <w:t xml:space="preserve">] as the Edit Mode on column </w:t>
      </w:r>
      <w:r w:rsidR="00B20D80">
        <w:rPr>
          <w:lang w:val="en-GB"/>
        </w:rPr>
        <w:t>AO</w:t>
      </w:r>
      <w:r w:rsidRPr="00022182">
        <w:rPr>
          <w:lang w:val="en-GB"/>
        </w:rPr>
        <w:t xml:space="preserve">; </w:t>
      </w:r>
    </w:p>
    <w:p w14:paraId="526827BC" w14:textId="77777777" w:rsidR="00022182" w:rsidRDefault="00022182" w:rsidP="00022182">
      <w:pPr>
        <w:pStyle w:val="ListParagraph0"/>
        <w:rPr>
          <w:lang w:val="en-GB"/>
        </w:rPr>
      </w:pPr>
    </w:p>
    <w:p w14:paraId="6FB955E9" w14:textId="458F8444" w:rsidR="00022182" w:rsidRPr="00022182" w:rsidRDefault="0028383C" w:rsidP="00022182">
      <w:pPr>
        <w:pStyle w:val="BodyText"/>
        <w:ind w:left="360"/>
        <w:rPr>
          <w:lang w:val="en-GB"/>
        </w:rPr>
      </w:pPr>
      <w:r>
        <w:rPr>
          <w:noProof/>
          <w:lang w:eastAsia="en-AU"/>
        </w:rPr>
        <w:drawing>
          <wp:inline distT="0" distB="0" distL="0" distR="0" wp14:anchorId="2DD2042A" wp14:editId="3160683A">
            <wp:extent cx="4440326" cy="1440993"/>
            <wp:effectExtent l="0" t="0" r="0" b="6985"/>
            <wp:docPr id="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4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l="1938" t="47257" r="35871" b="19406"/>
                    <a:stretch/>
                  </pic:blipFill>
                  <pic:spPr bwMode="auto">
                    <a:xfrm>
                      <a:off x="0" y="0"/>
                      <a:ext cx="4576702" cy="148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3A4CA" w14:textId="77777777" w:rsidR="00022182" w:rsidRDefault="00022182" w:rsidP="00022182">
      <w:pPr>
        <w:pStyle w:val="ListParagraph0"/>
        <w:rPr>
          <w:lang w:val="en-GB"/>
        </w:rPr>
      </w:pPr>
    </w:p>
    <w:p w14:paraId="267C66DD" w14:textId="6F8F54DC" w:rsidR="006B1E32" w:rsidRDefault="006B1E32">
      <w:pPr>
        <w:spacing w:after="160" w:line="259" w:lineRule="auto"/>
        <w:rPr>
          <w:lang w:val="en-GB"/>
        </w:rPr>
      </w:pPr>
    </w:p>
    <w:p w14:paraId="7D00ACEC" w14:textId="66640764" w:rsidR="00022182" w:rsidRDefault="00022182" w:rsidP="008F1732">
      <w:pPr>
        <w:pStyle w:val="BodyText"/>
        <w:numPr>
          <w:ilvl w:val="0"/>
          <w:numId w:val="16"/>
        </w:numPr>
        <w:rPr>
          <w:rFonts w:ascii="Calibri" w:hAnsi="Calibri" w:cs="Arial"/>
          <w:sz w:val="22"/>
        </w:rPr>
      </w:pPr>
      <w:r w:rsidRPr="00022182">
        <w:rPr>
          <w:lang w:val="en-GB"/>
        </w:rPr>
        <w:t xml:space="preserve">Alternatively Next Year forecast data can be entered directly into the annual total column </w:t>
      </w:r>
      <w:r w:rsidRPr="00102860">
        <w:rPr>
          <w:i/>
          <w:lang w:val="en-GB"/>
        </w:rPr>
        <w:t>(ie.</w:t>
      </w:r>
      <w:r w:rsidR="00102860">
        <w:rPr>
          <w:i/>
          <w:lang w:val="en-GB"/>
        </w:rPr>
        <w:t>as</w:t>
      </w:r>
      <w:r w:rsidRPr="00102860">
        <w:rPr>
          <w:i/>
          <w:lang w:val="en-GB"/>
        </w:rPr>
        <w:t xml:space="preserve"> annual </w:t>
      </w:r>
      <w:r w:rsidR="00102860">
        <w:rPr>
          <w:i/>
          <w:lang w:val="en-GB"/>
        </w:rPr>
        <w:t xml:space="preserve">total </w:t>
      </w:r>
      <w:r w:rsidRPr="00102860">
        <w:rPr>
          <w:i/>
          <w:lang w:val="en-GB"/>
        </w:rPr>
        <w:t>amount</w:t>
      </w:r>
      <w:r w:rsidR="001D71D3">
        <w:rPr>
          <w:i/>
          <w:lang w:val="en-GB"/>
        </w:rPr>
        <w:t>s</w:t>
      </w:r>
      <w:r w:rsidR="00E72DBE">
        <w:rPr>
          <w:i/>
          <w:lang w:val="en-GB"/>
        </w:rPr>
        <w:t xml:space="preserve"> rather than monthly figures</w:t>
      </w:r>
      <w:r w:rsidRPr="00102860">
        <w:rPr>
          <w:i/>
          <w:lang w:val="en-GB"/>
        </w:rPr>
        <w:t xml:space="preserve">) </w:t>
      </w:r>
      <w:r w:rsidRPr="00022182">
        <w:rPr>
          <w:lang w:val="en-GB"/>
        </w:rPr>
        <w:t xml:space="preserve">by </w:t>
      </w:r>
      <w:r w:rsidR="00102860">
        <w:rPr>
          <w:lang w:val="en-GB"/>
        </w:rPr>
        <w:t>changing</w:t>
      </w:r>
      <w:r w:rsidRPr="00022182">
        <w:rPr>
          <w:lang w:val="en-GB"/>
        </w:rPr>
        <w:t xml:space="preserve"> </w:t>
      </w:r>
      <w:r w:rsidR="00E72DBE">
        <w:rPr>
          <w:lang w:val="en-GB"/>
        </w:rPr>
        <w:t xml:space="preserve">the </w:t>
      </w:r>
      <w:r w:rsidRPr="00022182">
        <w:rPr>
          <w:lang w:val="en-GB"/>
        </w:rPr>
        <w:t xml:space="preserve">Edit Mode </w:t>
      </w:r>
      <w:r w:rsidR="00102860">
        <w:rPr>
          <w:lang w:val="en-GB"/>
        </w:rPr>
        <w:t>to</w:t>
      </w:r>
      <w:r w:rsidRPr="00022182">
        <w:rPr>
          <w:lang w:val="en-GB"/>
        </w:rPr>
        <w:t xml:space="preserve"> [</w:t>
      </w:r>
      <w:proofErr w:type="spellStart"/>
      <w:r w:rsidRPr="00181E51">
        <w:rPr>
          <w:b/>
          <w:color w:val="7030A0"/>
          <w:lang w:val="en-GB"/>
        </w:rPr>
        <w:t>Annual_Total</w:t>
      </w:r>
      <w:proofErr w:type="spellEnd"/>
      <w:r w:rsidRPr="00022182">
        <w:rPr>
          <w:lang w:val="en-GB"/>
        </w:rPr>
        <w:t xml:space="preserve">].  This annual total will be spread across periods automatically based on the Spread Table.  </w:t>
      </w:r>
    </w:p>
    <w:p w14:paraId="575BD557" w14:textId="0101484E" w:rsidR="00887DC8" w:rsidRDefault="00022182" w:rsidP="00075A39">
      <w:pPr>
        <w:pStyle w:val="BodyText"/>
        <w:ind w:left="709"/>
        <w:rPr>
          <w:color w:val="FF0000"/>
          <w:lang w:val="en-GB"/>
        </w:rPr>
      </w:pPr>
      <w:r w:rsidRPr="00022182">
        <w:rPr>
          <w:color w:val="FF0000"/>
          <w:lang w:val="en-GB"/>
        </w:rPr>
        <w:t>Note:  there still contain formula</w:t>
      </w:r>
      <w:r w:rsidR="00102860">
        <w:rPr>
          <w:color w:val="FF0000"/>
          <w:lang w:val="en-GB"/>
        </w:rPr>
        <w:t>s</w:t>
      </w:r>
      <w:r w:rsidRPr="00022182">
        <w:rPr>
          <w:color w:val="FF0000"/>
          <w:lang w:val="en-GB"/>
        </w:rPr>
        <w:t xml:space="preserve"> in the annual column; just overwrite as this will trigger an event to readjust the monthly amount in accordance with the spread table.</w:t>
      </w:r>
    </w:p>
    <w:p w14:paraId="149A1EC2" w14:textId="7C8C811F" w:rsidR="00022182" w:rsidRDefault="00022182" w:rsidP="00022182">
      <w:pPr>
        <w:pStyle w:val="BodyText"/>
        <w:ind w:left="360"/>
        <w:rPr>
          <w:color w:val="FF0000"/>
          <w:lang w:val="en-GB"/>
        </w:rPr>
      </w:pPr>
      <w:r w:rsidRPr="00022182">
        <w:rPr>
          <w:color w:val="FF0000"/>
          <w:lang w:val="en-GB"/>
        </w:rPr>
        <w:t xml:space="preserve">  </w:t>
      </w:r>
      <w:r w:rsidR="00B20D80">
        <w:rPr>
          <w:noProof/>
          <w:lang w:eastAsia="en-AU"/>
        </w:rPr>
        <w:drawing>
          <wp:inline distT="0" distB="0" distL="0" distR="0" wp14:anchorId="5834A886" wp14:editId="3A17FA83">
            <wp:extent cx="4564684" cy="1503045"/>
            <wp:effectExtent l="0" t="0" r="7620" b="1905"/>
            <wp:docPr id="1692710" name="Picture 169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958" t="31230" r="26391" b="29650"/>
                    <a:stretch/>
                  </pic:blipFill>
                  <pic:spPr bwMode="auto">
                    <a:xfrm>
                      <a:off x="0" y="0"/>
                      <a:ext cx="4657891" cy="153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28430" w14:textId="77777777" w:rsidR="00666AC5" w:rsidRPr="00022182" w:rsidRDefault="00666AC5" w:rsidP="00022182">
      <w:pPr>
        <w:pStyle w:val="BodyText"/>
        <w:ind w:left="360"/>
        <w:rPr>
          <w:color w:val="FF0000"/>
          <w:lang w:val="en-GB"/>
        </w:rPr>
      </w:pPr>
    </w:p>
    <w:p w14:paraId="5E6A49EB" w14:textId="1EBD2BC0" w:rsidR="00666AC5" w:rsidRPr="00666AC5" w:rsidRDefault="00BF79A5" w:rsidP="008F1732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>T</w:t>
      </w:r>
      <w:r w:rsidR="00666AC5" w:rsidRPr="00666AC5">
        <w:rPr>
          <w:lang w:val="en-GB"/>
        </w:rPr>
        <w:t>he ‘</w:t>
      </w:r>
      <w:r w:rsidR="00666AC5" w:rsidRPr="00102860">
        <w:rPr>
          <w:b/>
          <w:color w:val="7030A0"/>
          <w:lang w:val="en-GB"/>
        </w:rPr>
        <w:t>Edit</w:t>
      </w:r>
      <w:r w:rsidR="00666AC5" w:rsidRPr="00666AC5">
        <w:rPr>
          <w:lang w:val="en-GB"/>
        </w:rPr>
        <w:t xml:space="preserve">’ tab on the Workbook Menu </w:t>
      </w:r>
      <w:r>
        <w:rPr>
          <w:lang w:val="en-GB"/>
        </w:rPr>
        <w:t>contain a group of Edit Function buttons. These</w:t>
      </w:r>
      <w:r w:rsidR="00666AC5" w:rsidRPr="00666AC5">
        <w:rPr>
          <w:lang w:val="en-GB"/>
        </w:rPr>
        <w:t xml:space="preserve"> buttons </w:t>
      </w:r>
      <w:r>
        <w:rPr>
          <w:lang w:val="en-GB"/>
        </w:rPr>
        <w:t xml:space="preserve">are designed </w:t>
      </w:r>
      <w:r w:rsidR="00666AC5" w:rsidRPr="00666AC5">
        <w:rPr>
          <w:lang w:val="en-GB"/>
        </w:rPr>
        <w:t xml:space="preserve">to </w:t>
      </w:r>
      <w:r>
        <w:rPr>
          <w:lang w:val="en-GB"/>
        </w:rPr>
        <w:t xml:space="preserve">assist </w:t>
      </w:r>
      <w:r w:rsidR="00666AC5" w:rsidRPr="00666AC5">
        <w:rPr>
          <w:lang w:val="en-GB"/>
        </w:rPr>
        <w:t xml:space="preserve">with updating the </w:t>
      </w:r>
      <w:r>
        <w:rPr>
          <w:lang w:val="en-GB"/>
        </w:rPr>
        <w:t>f</w:t>
      </w:r>
      <w:r w:rsidR="00666AC5" w:rsidRPr="00666AC5">
        <w:rPr>
          <w:lang w:val="en-GB"/>
        </w:rPr>
        <w:t xml:space="preserve">orecast data. </w:t>
      </w:r>
      <w:r>
        <w:rPr>
          <w:lang w:val="en-GB"/>
        </w:rPr>
        <w:t>There are two</w:t>
      </w:r>
      <w:r w:rsidR="00666AC5" w:rsidRPr="00666AC5">
        <w:rPr>
          <w:lang w:val="en-GB"/>
        </w:rPr>
        <w:t xml:space="preserve"> versions </w:t>
      </w:r>
      <w:r>
        <w:rPr>
          <w:lang w:val="en-GB"/>
        </w:rPr>
        <w:t>of the same button under each function; depicting either a</w:t>
      </w:r>
      <w:r w:rsidR="00666AC5" w:rsidRPr="00666AC5">
        <w:rPr>
          <w:lang w:val="en-GB"/>
        </w:rPr>
        <w:t xml:space="preserve"> single bar or multiple bars in the top corners – the number of bars indicate whether only the selected </w:t>
      </w:r>
      <w:r>
        <w:rPr>
          <w:lang w:val="en-GB"/>
        </w:rPr>
        <w:t xml:space="preserve">account </w:t>
      </w:r>
      <w:r w:rsidR="00666AC5" w:rsidRPr="00666AC5">
        <w:rPr>
          <w:lang w:val="en-GB"/>
        </w:rPr>
        <w:t>line (</w:t>
      </w:r>
      <w:r w:rsidR="00666AC5" w:rsidRPr="00AC62B6">
        <w:rPr>
          <w:i/>
          <w:lang w:val="en-GB"/>
        </w:rPr>
        <w:t>one bar</w:t>
      </w:r>
      <w:r w:rsidR="00666AC5" w:rsidRPr="00666AC5">
        <w:rPr>
          <w:lang w:val="en-GB"/>
        </w:rPr>
        <w:t xml:space="preserve">) or all </w:t>
      </w:r>
      <w:r>
        <w:rPr>
          <w:lang w:val="en-GB"/>
        </w:rPr>
        <w:t xml:space="preserve">account </w:t>
      </w:r>
      <w:r w:rsidR="00666AC5" w:rsidRPr="00666AC5">
        <w:rPr>
          <w:lang w:val="en-GB"/>
        </w:rPr>
        <w:t>lines (</w:t>
      </w:r>
      <w:r w:rsidR="00666AC5" w:rsidRPr="00AC62B6">
        <w:rPr>
          <w:i/>
          <w:lang w:val="en-GB"/>
        </w:rPr>
        <w:t>multiple bars</w:t>
      </w:r>
      <w:r w:rsidR="00666AC5" w:rsidRPr="00666AC5">
        <w:rPr>
          <w:lang w:val="en-GB"/>
        </w:rPr>
        <w:t>) will be adjusted.</w:t>
      </w:r>
    </w:p>
    <w:p w14:paraId="0F96CD9F" w14:textId="05EC19E8" w:rsidR="00022182" w:rsidRPr="00022182" w:rsidRDefault="00022182" w:rsidP="00022182">
      <w:pPr>
        <w:pStyle w:val="BodyText"/>
        <w:rPr>
          <w:lang w:val="en-GB"/>
        </w:rPr>
      </w:pPr>
    </w:p>
    <w:p w14:paraId="6F7609D4" w14:textId="77777777" w:rsidR="00C02569" w:rsidRPr="00C02569" w:rsidRDefault="00C02569" w:rsidP="008F1732">
      <w:pPr>
        <w:pStyle w:val="BodyText"/>
        <w:numPr>
          <w:ilvl w:val="0"/>
          <w:numId w:val="15"/>
        </w:numPr>
        <w:rPr>
          <w:lang w:val="en-GB"/>
        </w:rPr>
      </w:pPr>
      <w:r w:rsidRPr="00C02569">
        <w:rPr>
          <w:noProof/>
          <w:color w:val="7030A0"/>
          <w:lang w:eastAsia="en-AU"/>
        </w:rPr>
        <w:drawing>
          <wp:inline distT="0" distB="0" distL="0" distR="0" wp14:anchorId="14B527D6" wp14:editId="04C60068">
            <wp:extent cx="257175" cy="257175"/>
            <wp:effectExtent l="19050" t="0" r="9525" b="0"/>
            <wp:docPr id="16927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569">
        <w:rPr>
          <w:color w:val="7030A0"/>
          <w:lang w:val="en-GB"/>
        </w:rPr>
        <w:t xml:space="preserve"> </w:t>
      </w:r>
      <w:r w:rsidRPr="00C02569">
        <w:rPr>
          <w:noProof/>
          <w:color w:val="7030A0"/>
          <w:lang w:eastAsia="en-AU"/>
        </w:rPr>
        <w:drawing>
          <wp:inline distT="0" distB="0" distL="0" distR="0" wp14:anchorId="3B0A4A15" wp14:editId="14C8D93B">
            <wp:extent cx="257175" cy="257175"/>
            <wp:effectExtent l="19050" t="0" r="9525" b="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569">
        <w:rPr>
          <w:color w:val="7030A0"/>
          <w:lang w:val="en-GB"/>
        </w:rPr>
        <w:t xml:space="preserve"> </w:t>
      </w:r>
      <w:r w:rsidRPr="00C02569">
        <w:rPr>
          <w:b/>
          <w:color w:val="7030A0"/>
          <w:u w:val="single"/>
          <w:lang w:val="en-GB"/>
        </w:rPr>
        <w:t>Project Forward Inflated</w:t>
      </w:r>
      <w:proofErr w:type="gramStart"/>
      <w:r w:rsidRPr="00C02569">
        <w:rPr>
          <w:b/>
          <w:color w:val="7030A0"/>
          <w:u w:val="single"/>
          <w:lang w:val="en-GB"/>
        </w:rPr>
        <w:t>:-</w:t>
      </w:r>
      <w:proofErr w:type="gramEnd"/>
      <w:r w:rsidRPr="00C02569">
        <w:rPr>
          <w:color w:val="7030A0"/>
          <w:lang w:val="en-GB"/>
        </w:rPr>
        <w:t xml:space="preserve"> </w:t>
      </w:r>
      <w:r w:rsidRPr="00C02569">
        <w:rPr>
          <w:lang w:val="en-GB"/>
        </w:rPr>
        <w:t>Generates future annual forecasts (</w:t>
      </w:r>
      <w:proofErr w:type="spellStart"/>
      <w:r w:rsidRPr="00C02569">
        <w:rPr>
          <w:lang w:val="en-GB"/>
        </w:rPr>
        <w:t>Yrs</w:t>
      </w:r>
      <w:proofErr w:type="spellEnd"/>
      <w:r w:rsidRPr="00C02569">
        <w:rPr>
          <w:lang w:val="en-GB"/>
        </w:rPr>
        <w:t xml:space="preserve"> 2-5) allowing for inflation. Linked data can either be maintained or deleted. Default base is the current year forecast.</w:t>
      </w:r>
    </w:p>
    <w:p w14:paraId="1E64013B" w14:textId="73D89731" w:rsidR="00C02569" w:rsidRPr="00C02569" w:rsidRDefault="00110A95" w:rsidP="00110A95">
      <w:pPr>
        <w:pStyle w:val="BodyText"/>
        <w:rPr>
          <w:color w:val="7030A0"/>
          <w:lang w:val="en-GB"/>
        </w:rPr>
      </w:pPr>
      <w:r w:rsidRPr="00AE125B"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56EAF9B0" wp14:editId="2FA15277">
            <wp:simplePos x="0" y="0"/>
            <wp:positionH relativeFrom="column">
              <wp:posOffset>5308270</wp:posOffset>
            </wp:positionH>
            <wp:positionV relativeFrom="paragraph">
              <wp:posOffset>25400</wp:posOffset>
            </wp:positionV>
            <wp:extent cx="3159760" cy="1111885"/>
            <wp:effectExtent l="0" t="0" r="2540" b="0"/>
            <wp:wrapThrough wrapText="bothSides">
              <wp:wrapPolygon edited="0">
                <wp:start x="0" y="0"/>
                <wp:lineTo x="0" y="21094"/>
                <wp:lineTo x="21487" y="21094"/>
                <wp:lineTo x="2148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69" w:rsidRPr="00C02569">
        <w:rPr>
          <w:color w:val="7030A0"/>
          <w:lang w:val="en-GB"/>
        </w:rPr>
        <w:t xml:space="preserve"> </w:t>
      </w:r>
    </w:p>
    <w:p w14:paraId="7D8FE79B" w14:textId="77777777" w:rsidR="00C02569" w:rsidRPr="00C02569" w:rsidRDefault="00C02569" w:rsidP="008F1732">
      <w:pPr>
        <w:pStyle w:val="BodyText"/>
        <w:numPr>
          <w:ilvl w:val="0"/>
          <w:numId w:val="15"/>
        </w:numPr>
        <w:rPr>
          <w:lang w:val="en-GB"/>
        </w:rPr>
      </w:pPr>
      <w:r w:rsidRPr="00C02569">
        <w:rPr>
          <w:noProof/>
          <w:color w:val="7030A0"/>
          <w:lang w:eastAsia="en-AU"/>
        </w:rPr>
        <w:drawing>
          <wp:inline distT="0" distB="0" distL="0" distR="0" wp14:anchorId="7842587D" wp14:editId="2449AC1F">
            <wp:extent cx="257175" cy="257175"/>
            <wp:effectExtent l="19050" t="0" r="9525" b="0"/>
            <wp:docPr id="16927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569">
        <w:rPr>
          <w:color w:val="7030A0"/>
          <w:lang w:val="en-GB"/>
        </w:rPr>
        <w:t xml:space="preserve"> </w:t>
      </w:r>
      <w:r w:rsidRPr="00C02569">
        <w:rPr>
          <w:noProof/>
          <w:color w:val="7030A0"/>
          <w:lang w:eastAsia="en-AU"/>
        </w:rPr>
        <w:drawing>
          <wp:inline distT="0" distB="0" distL="0" distR="0" wp14:anchorId="395CECB7" wp14:editId="3CF1FEF3">
            <wp:extent cx="257175" cy="2571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569">
        <w:rPr>
          <w:color w:val="7030A0"/>
          <w:lang w:val="en-GB"/>
        </w:rPr>
        <w:t xml:space="preserve"> </w:t>
      </w:r>
      <w:r w:rsidRPr="00C02569">
        <w:rPr>
          <w:b/>
          <w:color w:val="7030A0"/>
          <w:u w:val="single"/>
          <w:lang w:val="en-GB"/>
        </w:rPr>
        <w:t>Project Forward Flat Rate</w:t>
      </w:r>
      <w:proofErr w:type="gramStart"/>
      <w:r w:rsidRPr="00C02569">
        <w:rPr>
          <w:b/>
          <w:color w:val="7030A0"/>
          <w:u w:val="single"/>
          <w:lang w:val="en-GB"/>
        </w:rPr>
        <w:t>:-</w:t>
      </w:r>
      <w:proofErr w:type="gramEnd"/>
      <w:r w:rsidRPr="00C02569">
        <w:rPr>
          <w:b/>
          <w:color w:val="7030A0"/>
          <w:lang w:val="en-GB"/>
        </w:rPr>
        <w:t xml:space="preserve"> </w:t>
      </w:r>
      <w:r w:rsidRPr="00C02569">
        <w:rPr>
          <w:lang w:val="en-GB"/>
        </w:rPr>
        <w:t>Generates future annual forecasts (</w:t>
      </w:r>
      <w:proofErr w:type="spellStart"/>
      <w:r w:rsidRPr="00C02569">
        <w:rPr>
          <w:lang w:val="en-GB"/>
        </w:rPr>
        <w:t>Yrs</w:t>
      </w:r>
      <w:proofErr w:type="spellEnd"/>
      <w:r w:rsidRPr="00C02569">
        <w:rPr>
          <w:lang w:val="en-GB"/>
        </w:rPr>
        <w:t xml:space="preserve"> 2-5) without allowing for inflation. Links can either be maintained or deleted. Default base is current year forecast.</w:t>
      </w:r>
    </w:p>
    <w:p w14:paraId="0430EB48" w14:textId="77777777" w:rsidR="00AE125B" w:rsidRPr="00AE125B" w:rsidRDefault="00AE125B" w:rsidP="00AE125B">
      <w:pPr>
        <w:pStyle w:val="BodyText"/>
        <w:ind w:left="720"/>
        <w:rPr>
          <w:lang w:val="en-GB"/>
        </w:rPr>
      </w:pPr>
    </w:p>
    <w:p w14:paraId="63BEE1BA" w14:textId="138C4A48" w:rsidR="00AE125B" w:rsidRPr="00AC62B6" w:rsidRDefault="00AE125B" w:rsidP="00AE125B">
      <w:pPr>
        <w:pStyle w:val="BodyText"/>
        <w:ind w:left="720"/>
        <w:rPr>
          <w:rFonts w:cstheme="minorHAnsi"/>
          <w:lang w:val="en-GB"/>
        </w:rPr>
      </w:pPr>
      <w:r w:rsidRPr="00AE125B">
        <w:rPr>
          <w:lang w:val="en-GB"/>
        </w:rPr>
        <w:t xml:space="preserve"> </w:t>
      </w:r>
      <w:r w:rsidR="00E72461" w:rsidRPr="00AC62B6">
        <w:rPr>
          <w:rFonts w:cstheme="minorHAnsi"/>
          <w:b/>
          <w:color w:val="FF0000"/>
          <w:lang w:val="en-GB"/>
        </w:rPr>
        <w:t>Note</w:t>
      </w:r>
      <w:r w:rsidRPr="00AC62B6">
        <w:rPr>
          <w:rFonts w:cstheme="minorHAnsi"/>
          <w:b/>
          <w:color w:val="FF0000"/>
          <w:lang w:val="en-GB"/>
        </w:rPr>
        <w:t xml:space="preserve">: </w:t>
      </w:r>
      <w:r w:rsidRPr="00AC62B6">
        <w:rPr>
          <w:rFonts w:cstheme="minorHAnsi"/>
          <w:color w:val="FF0000"/>
          <w:lang w:val="en-GB"/>
        </w:rPr>
        <w:t xml:space="preserve"> </w:t>
      </w:r>
      <w:r w:rsidRPr="00AC62B6">
        <w:rPr>
          <w:rFonts w:cstheme="minorHAnsi"/>
          <w:b/>
          <w:lang w:val="en-GB"/>
        </w:rPr>
        <w:t xml:space="preserve">The workbook is in the </w:t>
      </w:r>
      <w:r w:rsidRPr="00AC62B6">
        <w:rPr>
          <w:rFonts w:cstheme="minorHAnsi"/>
          <w:b/>
          <w:u w:val="single"/>
          <w:lang w:val="en-GB"/>
        </w:rPr>
        <w:t>general ledger</w:t>
      </w:r>
      <w:r w:rsidRPr="00AC62B6">
        <w:rPr>
          <w:rFonts w:cstheme="minorHAnsi"/>
          <w:b/>
          <w:lang w:val="en-GB"/>
        </w:rPr>
        <w:t xml:space="preserve"> format so income should be entered as a negative and expenses as a positive.</w:t>
      </w:r>
    </w:p>
    <w:p w14:paraId="2CE67BBB" w14:textId="77777777" w:rsidR="00AE125B" w:rsidRPr="00AE125B" w:rsidRDefault="00AE125B" w:rsidP="00AE125B">
      <w:pPr>
        <w:pStyle w:val="BodyText"/>
        <w:ind w:left="720"/>
        <w:rPr>
          <w:lang w:val="en-GB"/>
        </w:rPr>
      </w:pPr>
    </w:p>
    <w:p w14:paraId="48704D10" w14:textId="263618E9" w:rsidR="00D47E4A" w:rsidRPr="00AC62B6" w:rsidRDefault="00D47E4A" w:rsidP="008F1732">
      <w:pPr>
        <w:pStyle w:val="ListParagraph0"/>
        <w:numPr>
          <w:ilvl w:val="0"/>
          <w:numId w:val="16"/>
        </w:numPr>
        <w:spacing w:before="0" w:after="0" w:line="240" w:lineRule="auto"/>
        <w:contextualSpacing/>
        <w:rPr>
          <w:rFonts w:cstheme="minorHAnsi"/>
        </w:rPr>
      </w:pPr>
      <w:r w:rsidRPr="00AC62B6">
        <w:rPr>
          <w:rFonts w:cstheme="minorHAnsi"/>
        </w:rPr>
        <w:t>Once you have entered your multi-year data</w:t>
      </w:r>
      <w:r w:rsidR="000F44A1" w:rsidRPr="00AC62B6">
        <w:rPr>
          <w:rFonts w:cstheme="minorHAnsi"/>
        </w:rPr>
        <w:t>,</w:t>
      </w:r>
      <w:r w:rsidRPr="00AC62B6">
        <w:rPr>
          <w:rFonts w:cstheme="minorHAnsi"/>
        </w:rPr>
        <w:t xml:space="preserve"> </w:t>
      </w:r>
      <w:r w:rsidR="000F44A1" w:rsidRPr="00AC62B6">
        <w:rPr>
          <w:rFonts w:cstheme="minorHAnsi"/>
        </w:rPr>
        <w:t>confirm</w:t>
      </w:r>
      <w:r w:rsidRPr="00AC62B6">
        <w:rPr>
          <w:rFonts w:cstheme="minorHAnsi"/>
        </w:rPr>
        <w:t xml:space="preserve"> the Full Year totals are as expected for the </w:t>
      </w:r>
      <w:r w:rsidR="001D71D3">
        <w:rPr>
          <w:rFonts w:cstheme="minorHAnsi"/>
        </w:rPr>
        <w:t xml:space="preserve">selected </w:t>
      </w:r>
      <w:r w:rsidR="00583573">
        <w:rPr>
          <w:rFonts w:cstheme="minorHAnsi"/>
        </w:rPr>
        <w:t>chart</w:t>
      </w:r>
      <w:r w:rsidR="000F44A1" w:rsidRPr="00AC62B6">
        <w:rPr>
          <w:rFonts w:cstheme="minorHAnsi"/>
        </w:rPr>
        <w:t>s</w:t>
      </w:r>
      <w:r w:rsidRPr="00AC62B6">
        <w:rPr>
          <w:rFonts w:cstheme="minorHAnsi"/>
        </w:rPr>
        <w:t xml:space="preserve">tring and </w:t>
      </w:r>
      <w:r w:rsidR="001D71D3">
        <w:rPr>
          <w:rFonts w:cstheme="minorHAnsi"/>
        </w:rPr>
        <w:t xml:space="preserve">proceed </w:t>
      </w:r>
      <w:r w:rsidRPr="00AC62B6">
        <w:rPr>
          <w:rFonts w:cstheme="minorHAnsi"/>
        </w:rPr>
        <w:t>to post the forecast</w:t>
      </w:r>
      <w:r w:rsidR="001D71D3">
        <w:rPr>
          <w:rFonts w:cstheme="minorHAnsi"/>
        </w:rPr>
        <w:t>s</w:t>
      </w:r>
      <w:r w:rsidRPr="00AC62B6">
        <w:rPr>
          <w:rFonts w:cstheme="minorHAnsi"/>
        </w:rPr>
        <w:t xml:space="preserve"> </w:t>
      </w:r>
      <w:r w:rsidR="001D71D3">
        <w:rPr>
          <w:rFonts w:cstheme="minorHAnsi"/>
        </w:rPr>
        <w:t>b</w:t>
      </w:r>
      <w:r w:rsidRPr="00AC62B6">
        <w:rPr>
          <w:rFonts w:cstheme="minorHAnsi"/>
        </w:rPr>
        <w:t>y clicking</w:t>
      </w:r>
      <w:r w:rsidR="00AC62B6" w:rsidRPr="00AC62B6">
        <w:rPr>
          <w:rFonts w:cstheme="minorHAnsi"/>
        </w:rPr>
        <w:t xml:space="preserve"> the save forecast button</w:t>
      </w:r>
      <w:r w:rsidRPr="00AC62B6">
        <w:rPr>
          <w:rFonts w:cstheme="minorHAnsi"/>
          <w:noProof/>
          <w:lang w:eastAsia="en-AU"/>
        </w:rPr>
        <w:drawing>
          <wp:inline distT="0" distB="0" distL="0" distR="0" wp14:anchorId="25EA19A9" wp14:editId="20E73CC4">
            <wp:extent cx="266700" cy="266700"/>
            <wp:effectExtent l="19050" t="0" r="0" b="0"/>
            <wp:docPr id="1692714" name="Picture 169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1D3">
        <w:rPr>
          <w:rFonts w:cstheme="minorHAnsi"/>
        </w:rPr>
        <w:t xml:space="preserve"> from either the Workbook Menu or directly from the </w:t>
      </w:r>
      <w:r w:rsidR="001D71D3" w:rsidRPr="001D71D3">
        <w:rPr>
          <w:rFonts w:cstheme="minorHAnsi"/>
          <w:b/>
          <w:color w:val="7030A0"/>
        </w:rPr>
        <w:t>Edit</w:t>
      </w:r>
      <w:r w:rsidR="001D71D3" w:rsidRPr="001D71D3">
        <w:rPr>
          <w:rFonts w:cstheme="minorHAnsi"/>
          <w:color w:val="7030A0"/>
        </w:rPr>
        <w:t xml:space="preserve"> </w:t>
      </w:r>
      <w:r w:rsidR="001D71D3">
        <w:rPr>
          <w:rFonts w:cstheme="minorHAnsi"/>
        </w:rPr>
        <w:t>sheet</w:t>
      </w:r>
      <w:r w:rsidRPr="00AC62B6">
        <w:rPr>
          <w:rFonts w:cstheme="minorHAnsi"/>
        </w:rPr>
        <w:t xml:space="preserve">. This updates the Forecast for that </w:t>
      </w:r>
      <w:r w:rsidR="001D71D3">
        <w:rPr>
          <w:rFonts w:cstheme="minorHAnsi"/>
        </w:rPr>
        <w:t xml:space="preserve">displayed </w:t>
      </w:r>
      <w:r w:rsidR="00583573">
        <w:rPr>
          <w:rFonts w:cstheme="minorHAnsi"/>
        </w:rPr>
        <w:t>chart</w:t>
      </w:r>
      <w:r w:rsidRPr="00AC62B6">
        <w:rPr>
          <w:rFonts w:cstheme="minorHAnsi"/>
        </w:rPr>
        <w:t>string and stores the data in the workbook.</w:t>
      </w:r>
    </w:p>
    <w:p w14:paraId="17492D0A" w14:textId="77777777" w:rsidR="00D47E4A" w:rsidRPr="00AC62B6" w:rsidRDefault="00D47E4A" w:rsidP="00D47E4A">
      <w:pPr>
        <w:rPr>
          <w:rFonts w:cstheme="minorHAnsi"/>
        </w:rPr>
      </w:pPr>
    </w:p>
    <w:p w14:paraId="6D51A462" w14:textId="72FE4DCA" w:rsidR="00D47E4A" w:rsidRPr="00AC62B6" w:rsidRDefault="00D47E4A" w:rsidP="00D47E4A">
      <w:pPr>
        <w:pStyle w:val="ListParagraph0"/>
        <w:ind w:left="709"/>
        <w:rPr>
          <w:rFonts w:cstheme="minorHAnsi"/>
          <w:b/>
        </w:rPr>
      </w:pPr>
      <w:r w:rsidRPr="00AC62B6">
        <w:rPr>
          <w:rFonts w:cstheme="minorHAnsi"/>
          <w:b/>
          <w:color w:val="FF0000"/>
          <w:sz w:val="18"/>
          <w:lang w:val="en-GB"/>
        </w:rPr>
        <w:t xml:space="preserve">Note: </w:t>
      </w:r>
      <w:r w:rsidRPr="00AC62B6">
        <w:rPr>
          <w:rFonts w:cstheme="minorHAnsi"/>
          <w:color w:val="FF0000"/>
          <w:sz w:val="18"/>
          <w:lang w:val="en-GB"/>
        </w:rPr>
        <w:t xml:space="preserve"> </w:t>
      </w:r>
      <w:r w:rsidRPr="00AC62B6">
        <w:rPr>
          <w:rFonts w:cstheme="minorHAnsi"/>
          <w:b/>
        </w:rPr>
        <w:t>CLICKING</w:t>
      </w:r>
      <w:r w:rsidRPr="00AC62B6">
        <w:rPr>
          <w:rFonts w:cstheme="minorHAnsi"/>
          <w:b/>
          <w:noProof/>
          <w:lang w:eastAsia="en-AU"/>
        </w:rPr>
        <w:drawing>
          <wp:inline distT="0" distB="0" distL="0" distR="0" wp14:anchorId="6212F2E8" wp14:editId="0BFDA7F8">
            <wp:extent cx="266700" cy="266700"/>
            <wp:effectExtent l="19050" t="0" r="0" b="0"/>
            <wp:docPr id="169271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2B6">
        <w:rPr>
          <w:rFonts w:cstheme="minorHAnsi"/>
          <w:b/>
        </w:rPr>
        <w:t xml:space="preserve"> ‘POSTS’ THE FORECAST CHANGES TO YOUR WORKBOOK – HOWEVER, THIS DOESN’T ACTUALLY SAVE YOUR WORKBOOK FILE TO THE NETWORK.</w:t>
      </w:r>
    </w:p>
    <w:p w14:paraId="701C35F1" w14:textId="77777777" w:rsidR="00D47E4A" w:rsidRPr="00AC62B6" w:rsidRDefault="00D47E4A" w:rsidP="00D47E4A">
      <w:pPr>
        <w:pStyle w:val="ListParagraph0"/>
        <w:rPr>
          <w:rFonts w:cstheme="minorHAnsi"/>
          <w:b/>
        </w:rPr>
      </w:pPr>
    </w:p>
    <w:p w14:paraId="054E3F96" w14:textId="77777777" w:rsidR="00D47E4A" w:rsidRPr="00AC62B6" w:rsidRDefault="00D47E4A" w:rsidP="00D47E4A">
      <w:pPr>
        <w:pStyle w:val="ListParagraph0"/>
        <w:ind w:left="709"/>
        <w:rPr>
          <w:rFonts w:cstheme="minorHAnsi"/>
          <w:b/>
          <w:lang w:val="en-US"/>
        </w:rPr>
      </w:pPr>
      <w:r w:rsidRPr="00AC62B6">
        <w:rPr>
          <w:rFonts w:cstheme="minorHAnsi"/>
          <w:b/>
        </w:rPr>
        <w:t xml:space="preserve">In order to save the entire workbook, click file then Save or </w:t>
      </w:r>
      <w:proofErr w:type="gramStart"/>
      <w:r w:rsidRPr="00AC62B6">
        <w:rPr>
          <w:rFonts w:cstheme="minorHAnsi"/>
          <w:b/>
        </w:rPr>
        <w:t>Clicking  keys</w:t>
      </w:r>
      <w:proofErr w:type="gramEnd"/>
      <w:r w:rsidRPr="00AC62B6">
        <w:rPr>
          <w:rFonts w:cstheme="minorHAnsi"/>
          <w:b/>
        </w:rPr>
        <w:t xml:space="preserve"> “Ctrl” &amp; “S” together will save the file.</w:t>
      </w:r>
    </w:p>
    <w:p w14:paraId="71AC4108" w14:textId="77777777" w:rsidR="00D47E4A" w:rsidRPr="00D47E4A" w:rsidRDefault="00D47E4A" w:rsidP="00D47E4A">
      <w:pPr>
        <w:pStyle w:val="BodyText"/>
        <w:ind w:left="360"/>
        <w:rPr>
          <w:b/>
          <w:lang w:val="en-GB"/>
        </w:rPr>
      </w:pPr>
    </w:p>
    <w:p w14:paraId="7E3B408E" w14:textId="4907A4CF" w:rsidR="00AE125B" w:rsidRPr="00AE125B" w:rsidRDefault="00AE125B" w:rsidP="008F1732">
      <w:pPr>
        <w:pStyle w:val="ListParagraph0"/>
        <w:numPr>
          <w:ilvl w:val="0"/>
          <w:numId w:val="16"/>
        </w:numPr>
        <w:spacing w:before="0" w:after="0" w:line="240" w:lineRule="auto"/>
        <w:contextualSpacing/>
        <w:rPr>
          <w:b/>
          <w:lang w:val="en-GB"/>
        </w:rPr>
      </w:pPr>
      <w:r w:rsidRPr="00AE125B">
        <w:rPr>
          <w:lang w:val="en-GB"/>
        </w:rPr>
        <w:t>Once the changes you have made are saved you can then move onto the next chartstring to work on.</w:t>
      </w:r>
    </w:p>
    <w:p w14:paraId="4228901B" w14:textId="6A4D18B0" w:rsidR="00AE125B" w:rsidRPr="00AE125B" w:rsidRDefault="00AE125B" w:rsidP="00AE125B">
      <w:pPr>
        <w:pStyle w:val="BodyText"/>
        <w:ind w:left="284"/>
        <w:rPr>
          <w:b/>
          <w:lang w:val="en-GB"/>
        </w:rPr>
      </w:pPr>
    </w:p>
    <w:p w14:paraId="292D33DA" w14:textId="47005C0F" w:rsidR="00AE125B" w:rsidRPr="00AE125B" w:rsidRDefault="006F0220" w:rsidP="006F0220">
      <w:pPr>
        <w:pStyle w:val="BodyText"/>
        <w:ind w:left="720"/>
        <w:rPr>
          <w:b/>
          <w:u w:val="single"/>
          <w:lang w:val="en-GB"/>
        </w:rPr>
      </w:pPr>
      <w:r>
        <w:rPr>
          <w:noProof/>
          <w:lang w:eastAsia="en-AU"/>
        </w:rPr>
        <w:drawing>
          <wp:inline distT="0" distB="0" distL="0" distR="0" wp14:anchorId="2AA636F0" wp14:editId="0DE72D65">
            <wp:extent cx="3160940" cy="1362974"/>
            <wp:effectExtent l="0" t="0" r="1905" b="8890"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/>
                    <pic:cNvPicPr>
                      <a:picLocks noChangeAspect="1"/>
                    </pic:cNvPicPr>
                  </pic:nvPicPr>
                  <pic:blipFill rotWithShape="1">
                    <a:blip r:embed="rId26"/>
                    <a:srcRect l="500" t="34990" r="55939" b="37601"/>
                    <a:stretch/>
                  </pic:blipFill>
                  <pic:spPr>
                    <a:xfrm>
                      <a:off x="0" y="0"/>
                      <a:ext cx="3182269" cy="13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u w:val="single"/>
          <w:lang w:val="en-GB"/>
        </w:rPr>
        <w:t xml:space="preserve">  </w:t>
      </w:r>
    </w:p>
    <w:p w14:paraId="462AF615" w14:textId="77777777" w:rsidR="00AE125B" w:rsidRPr="00AE125B" w:rsidRDefault="00AE125B" w:rsidP="00AE125B">
      <w:pPr>
        <w:pStyle w:val="BodyText"/>
        <w:ind w:left="720"/>
        <w:rPr>
          <w:b/>
          <w:u w:val="single"/>
          <w:lang w:val="en-GB"/>
        </w:rPr>
      </w:pPr>
    </w:p>
    <w:p w14:paraId="4E96FFCE" w14:textId="3D16C891" w:rsidR="00C82074" w:rsidRPr="00C82074" w:rsidRDefault="006E6A1A" w:rsidP="006B1E32">
      <w:pPr>
        <w:pStyle w:val="BodyText"/>
        <w:ind w:left="720"/>
      </w:pPr>
      <w:r>
        <w:rPr>
          <w:b/>
          <w:color w:val="FF0000"/>
          <w:lang w:val="en-GB"/>
        </w:rPr>
        <w:t>Warning:</w:t>
      </w:r>
      <w:r w:rsidR="00AE125B" w:rsidRPr="00AE125B">
        <w:rPr>
          <w:lang w:val="en-GB"/>
        </w:rPr>
        <w:t xml:space="preserve"> </w:t>
      </w:r>
      <w:r w:rsidR="00AE125B" w:rsidRPr="00AE125B">
        <w:rPr>
          <w:b/>
          <w:lang w:val="en-GB"/>
        </w:rPr>
        <w:t>If you don’t post the changes using</w:t>
      </w:r>
      <w:r w:rsidR="00AE125B" w:rsidRPr="00AE125B">
        <w:rPr>
          <w:b/>
          <w:noProof/>
          <w:lang w:eastAsia="en-AU"/>
        </w:rPr>
        <w:drawing>
          <wp:inline distT="0" distB="0" distL="0" distR="0" wp14:anchorId="1DE51B19" wp14:editId="794D5509">
            <wp:extent cx="266700" cy="266700"/>
            <wp:effectExtent l="19050" t="0" r="0" b="0"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25B" w:rsidRPr="00AE125B">
        <w:rPr>
          <w:b/>
          <w:lang w:val="en-GB"/>
        </w:rPr>
        <w:t xml:space="preserve"> before moving on and loading the next chartstring you will lose any forecast changes you have made.  </w:t>
      </w:r>
      <w:r w:rsidR="00127D06">
        <w:rPr>
          <w:b/>
          <w:lang w:val="en-GB"/>
        </w:rPr>
        <w:t xml:space="preserve">An </w:t>
      </w:r>
      <w:r w:rsidR="00127321">
        <w:rPr>
          <w:b/>
          <w:lang w:val="en-GB"/>
        </w:rPr>
        <w:t xml:space="preserve">amber traffic light </w:t>
      </w:r>
      <w:r w:rsidR="00127D06">
        <w:rPr>
          <w:b/>
          <w:lang w:val="en-GB"/>
        </w:rPr>
        <w:t>indicator</w:t>
      </w:r>
      <w:r w:rsidR="00AE125B" w:rsidRPr="00AE125B">
        <w:rPr>
          <w:b/>
          <w:lang w:val="en-GB"/>
        </w:rPr>
        <w:t xml:space="preserve"> </w:t>
      </w:r>
      <w:r w:rsidR="00127D06">
        <w:rPr>
          <w:noProof/>
          <w:lang w:eastAsia="en-AU"/>
        </w:rPr>
        <w:drawing>
          <wp:inline distT="0" distB="0" distL="0" distR="0" wp14:anchorId="4C1CF762" wp14:editId="0E4B37C8">
            <wp:extent cx="228600" cy="228601"/>
            <wp:effectExtent l="0" t="0" r="0" b="0"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/>
                    <pic:cNvPicPr>
                      <a:picLocks noChangeAspect="1"/>
                    </pic:cNvPicPr>
                  </pic:nvPicPr>
                  <pic:blipFill rotWithShape="1">
                    <a:blip r:embed="rId26"/>
                    <a:srcRect l="9991" t="43009" r="87611" b="53493"/>
                    <a:stretch/>
                  </pic:blipFill>
                  <pic:spPr>
                    <a:xfrm>
                      <a:off x="0" y="0"/>
                      <a:ext cx="228600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D06" w:rsidRPr="00AE125B">
        <w:rPr>
          <w:b/>
          <w:lang w:val="en-GB"/>
        </w:rPr>
        <w:t xml:space="preserve"> </w:t>
      </w:r>
      <w:r w:rsidR="00AE125B" w:rsidRPr="00AE125B">
        <w:rPr>
          <w:b/>
          <w:lang w:val="en-GB"/>
        </w:rPr>
        <w:t xml:space="preserve">is </w:t>
      </w:r>
      <w:r w:rsidR="00D1711F">
        <w:rPr>
          <w:b/>
          <w:lang w:val="en-GB"/>
        </w:rPr>
        <w:t xml:space="preserve">displayed </w:t>
      </w:r>
      <w:r w:rsidR="00127D06">
        <w:rPr>
          <w:b/>
          <w:lang w:val="en-GB"/>
        </w:rPr>
        <w:t>next to</w:t>
      </w:r>
      <w:r w:rsidR="00AE125B" w:rsidRPr="00AE125B">
        <w:rPr>
          <w:b/>
          <w:lang w:val="en-GB"/>
        </w:rPr>
        <w:t xml:space="preserve"> the CS, as well as a pop-up box </w:t>
      </w:r>
      <w:r w:rsidR="00D1711F">
        <w:rPr>
          <w:b/>
          <w:lang w:val="en-GB"/>
        </w:rPr>
        <w:t xml:space="preserve">warning </w:t>
      </w:r>
      <w:r w:rsidR="00AE125B" w:rsidRPr="00AE125B">
        <w:rPr>
          <w:b/>
          <w:lang w:val="en-GB"/>
        </w:rPr>
        <w:t>that there are unsaved changes on the Edit tab.</w:t>
      </w:r>
    </w:p>
    <w:sectPr w:rsidR="00C82074" w:rsidRPr="00C82074" w:rsidSect="00110A95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6838" w:h="11906" w:orient="landscape" w:code="9"/>
      <w:pgMar w:top="1702" w:right="1134" w:bottom="1134" w:left="1134" w:header="561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E5D9" w14:textId="77777777" w:rsidR="001D3AFF" w:rsidRDefault="001D3AFF" w:rsidP="00C20C17">
      <w:r>
        <w:separator/>
      </w:r>
    </w:p>
  </w:endnote>
  <w:endnote w:type="continuationSeparator" w:id="0">
    <w:p w14:paraId="4CD7374C" w14:textId="77777777" w:rsidR="001D3AFF" w:rsidRDefault="001D3AFF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00065F" w14:paraId="48601E17" w14:textId="77777777" w:rsidTr="00B042DF">
      <w:tc>
        <w:tcPr>
          <w:tcW w:w="9072" w:type="dxa"/>
          <w:vAlign w:val="bottom"/>
        </w:tcPr>
        <w:p w14:paraId="2388DE11" w14:textId="3CD6A902" w:rsidR="0000065F" w:rsidRPr="009F4E10" w:rsidRDefault="0000065F" w:rsidP="00110A95">
          <w:pPr>
            <w:pStyle w:val="Footer"/>
          </w:pPr>
        </w:p>
      </w:tc>
      <w:tc>
        <w:tcPr>
          <w:tcW w:w="556" w:type="dxa"/>
          <w:vAlign w:val="bottom"/>
        </w:tcPr>
        <w:p w14:paraId="54BBEC2B" w14:textId="5C64E471" w:rsidR="0000065F" w:rsidRPr="0033054B" w:rsidRDefault="0000065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A61550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00065F" w:rsidRPr="00B042DF" w:rsidRDefault="0000065F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00065F" w14:paraId="0433B58F" w14:textId="77777777" w:rsidTr="0016241C">
      <w:tc>
        <w:tcPr>
          <w:tcW w:w="2548" w:type="dxa"/>
        </w:tcPr>
        <w:p w14:paraId="5E0C516A" w14:textId="77777777" w:rsidR="0000065F" w:rsidRPr="0016241C" w:rsidRDefault="0000065F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00065F" w:rsidRPr="0016241C" w:rsidRDefault="0000065F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00065F" w:rsidRPr="0016241C" w:rsidRDefault="0000065F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00065F" w:rsidRPr="0016241C" w:rsidRDefault="0000065F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</w:t>
              </w:r>
              <w:r>
                <w:rPr>
                  <w:highlight w:val="yellow"/>
                </w:rPr>
                <w:t>email</w:t>
              </w:r>
              <w:r w:rsidRPr="0016241C">
                <w:rPr>
                  <w:highlight w:val="yellow"/>
                </w:rPr>
                <w:t>]</w:t>
              </w:r>
            </w:sdtContent>
          </w:sdt>
          <w:r w:rsidRPr="00A77D53">
            <w:t>@uq.edu.au</w:t>
          </w:r>
        </w:p>
        <w:p w14:paraId="39BE5C17" w14:textId="77777777" w:rsidR="0000065F" w:rsidRPr="0016241C" w:rsidRDefault="0000065F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00065F" w:rsidRPr="0016241C" w:rsidRDefault="0000065F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00065F" w:rsidRPr="0016241C" w:rsidRDefault="0000065F" w:rsidP="0016241C">
          <w:pPr>
            <w:pStyle w:val="Footer"/>
            <w:rPr>
              <w:sz w:val="11"/>
              <w:szCs w:val="11"/>
            </w:rPr>
          </w:pPr>
          <w:proofErr w:type="spellStart"/>
          <w:r w:rsidRPr="0016241C">
            <w:rPr>
              <w:sz w:val="11"/>
              <w:szCs w:val="11"/>
            </w:rPr>
            <w:t>CRICOS</w:t>
          </w:r>
          <w:proofErr w:type="spellEnd"/>
          <w:r w:rsidRPr="0016241C">
            <w:rPr>
              <w:sz w:val="11"/>
              <w:szCs w:val="11"/>
            </w:rPr>
            <w:t xml:space="preserve"> PROVIDER NUMBER 00025B</w:t>
          </w:r>
        </w:p>
      </w:tc>
    </w:tr>
  </w:tbl>
  <w:p w14:paraId="4EC8D1F1" w14:textId="77777777" w:rsidR="0000065F" w:rsidRPr="0016241C" w:rsidRDefault="0000065F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C034" w14:textId="77777777" w:rsidR="001D3AFF" w:rsidRDefault="001D3AFF" w:rsidP="00C20C17">
      <w:r>
        <w:separator/>
      </w:r>
    </w:p>
  </w:footnote>
  <w:footnote w:type="continuationSeparator" w:id="0">
    <w:p w14:paraId="19B8D67D" w14:textId="77777777" w:rsidR="001D3AFF" w:rsidRDefault="001D3AFF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C2B9" w14:textId="0E9B3D24" w:rsidR="0000065F" w:rsidRDefault="0000065F" w:rsidP="00FA3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2DE8355" wp14:editId="2438AB14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1692685" name="Picture 1692685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00065F" w:rsidRDefault="0000065F" w:rsidP="00F4114D">
    <w:pPr>
      <w:pStyle w:val="Header"/>
      <w:jc w:val="right"/>
    </w:pPr>
  </w:p>
  <w:p w14:paraId="04D52987" w14:textId="2700A8FE" w:rsidR="0000065F" w:rsidRDefault="0000065F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692686" name="Picture 1692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452413"/>
    <w:multiLevelType w:val="hybridMultilevel"/>
    <w:tmpl w:val="BDD63018"/>
    <w:lvl w:ilvl="0" w:tplc="6032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3CA3265"/>
    <w:multiLevelType w:val="hybridMultilevel"/>
    <w:tmpl w:val="28D60B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6130A5"/>
    <w:multiLevelType w:val="hybridMultilevel"/>
    <w:tmpl w:val="D66A2F4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7"/>
  </w:num>
  <w:num w:numId="16">
    <w:abstractNumId w:val="5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0065F"/>
    <w:rsid w:val="00006B00"/>
    <w:rsid w:val="00022182"/>
    <w:rsid w:val="00024E5B"/>
    <w:rsid w:val="000300D4"/>
    <w:rsid w:val="000536CB"/>
    <w:rsid w:val="00075A39"/>
    <w:rsid w:val="000774D3"/>
    <w:rsid w:val="00081985"/>
    <w:rsid w:val="00084DC5"/>
    <w:rsid w:val="000A7AFE"/>
    <w:rsid w:val="000B14BE"/>
    <w:rsid w:val="000B3E75"/>
    <w:rsid w:val="000C48DA"/>
    <w:rsid w:val="000D762F"/>
    <w:rsid w:val="000F44A1"/>
    <w:rsid w:val="000F4518"/>
    <w:rsid w:val="00102860"/>
    <w:rsid w:val="00110384"/>
    <w:rsid w:val="00110A95"/>
    <w:rsid w:val="00127321"/>
    <w:rsid w:val="00127D06"/>
    <w:rsid w:val="0013414F"/>
    <w:rsid w:val="0016241C"/>
    <w:rsid w:val="00162550"/>
    <w:rsid w:val="00170398"/>
    <w:rsid w:val="001741BF"/>
    <w:rsid w:val="00181E51"/>
    <w:rsid w:val="00193459"/>
    <w:rsid w:val="0019478C"/>
    <w:rsid w:val="00196C64"/>
    <w:rsid w:val="001B24ED"/>
    <w:rsid w:val="001B6A57"/>
    <w:rsid w:val="001D3AFF"/>
    <w:rsid w:val="001D71D3"/>
    <w:rsid w:val="001E544B"/>
    <w:rsid w:val="0020725A"/>
    <w:rsid w:val="002142AC"/>
    <w:rsid w:val="00217C69"/>
    <w:rsid w:val="0023262A"/>
    <w:rsid w:val="00241DF1"/>
    <w:rsid w:val="00281407"/>
    <w:rsid w:val="0028383C"/>
    <w:rsid w:val="00287293"/>
    <w:rsid w:val="00292EDB"/>
    <w:rsid w:val="00295815"/>
    <w:rsid w:val="002974F3"/>
    <w:rsid w:val="002B1E6E"/>
    <w:rsid w:val="002D73F6"/>
    <w:rsid w:val="002F07CF"/>
    <w:rsid w:val="002F612F"/>
    <w:rsid w:val="00310B79"/>
    <w:rsid w:val="00324C15"/>
    <w:rsid w:val="0033054B"/>
    <w:rsid w:val="003314A2"/>
    <w:rsid w:val="00363EA7"/>
    <w:rsid w:val="00370522"/>
    <w:rsid w:val="003B5BC8"/>
    <w:rsid w:val="003E48F8"/>
    <w:rsid w:val="003E5B97"/>
    <w:rsid w:val="00403FC2"/>
    <w:rsid w:val="00416244"/>
    <w:rsid w:val="00416FF4"/>
    <w:rsid w:val="004218B8"/>
    <w:rsid w:val="00445521"/>
    <w:rsid w:val="004554CC"/>
    <w:rsid w:val="00463D08"/>
    <w:rsid w:val="004713C5"/>
    <w:rsid w:val="00490326"/>
    <w:rsid w:val="004972A0"/>
    <w:rsid w:val="00497A08"/>
    <w:rsid w:val="004B441F"/>
    <w:rsid w:val="004E4F05"/>
    <w:rsid w:val="00503135"/>
    <w:rsid w:val="00527AD4"/>
    <w:rsid w:val="00544D95"/>
    <w:rsid w:val="00552285"/>
    <w:rsid w:val="00553453"/>
    <w:rsid w:val="00576B84"/>
    <w:rsid w:val="00583573"/>
    <w:rsid w:val="00591DC4"/>
    <w:rsid w:val="005934A5"/>
    <w:rsid w:val="005A305D"/>
    <w:rsid w:val="005A3F7C"/>
    <w:rsid w:val="005A6CC7"/>
    <w:rsid w:val="005B54F0"/>
    <w:rsid w:val="005D0167"/>
    <w:rsid w:val="005D206F"/>
    <w:rsid w:val="005D4250"/>
    <w:rsid w:val="005E22FD"/>
    <w:rsid w:val="005E7363"/>
    <w:rsid w:val="005F0E3B"/>
    <w:rsid w:val="00613060"/>
    <w:rsid w:val="00614669"/>
    <w:rsid w:val="006377A2"/>
    <w:rsid w:val="00642034"/>
    <w:rsid w:val="00657124"/>
    <w:rsid w:val="00662576"/>
    <w:rsid w:val="00666AC5"/>
    <w:rsid w:val="00670B05"/>
    <w:rsid w:val="00684298"/>
    <w:rsid w:val="006873AE"/>
    <w:rsid w:val="006A24C4"/>
    <w:rsid w:val="006B1E32"/>
    <w:rsid w:val="006C0E44"/>
    <w:rsid w:val="006E6A1A"/>
    <w:rsid w:val="006E71A4"/>
    <w:rsid w:val="006F0220"/>
    <w:rsid w:val="0071246C"/>
    <w:rsid w:val="00716942"/>
    <w:rsid w:val="007268EF"/>
    <w:rsid w:val="00781D68"/>
    <w:rsid w:val="00783EF5"/>
    <w:rsid w:val="007B215D"/>
    <w:rsid w:val="007C38B8"/>
    <w:rsid w:val="007D347B"/>
    <w:rsid w:val="007E345B"/>
    <w:rsid w:val="007E3DDB"/>
    <w:rsid w:val="007F5557"/>
    <w:rsid w:val="00804338"/>
    <w:rsid w:val="00834296"/>
    <w:rsid w:val="0084395D"/>
    <w:rsid w:val="00862690"/>
    <w:rsid w:val="00882359"/>
    <w:rsid w:val="00887DC8"/>
    <w:rsid w:val="00894DFA"/>
    <w:rsid w:val="008B0D27"/>
    <w:rsid w:val="008B0D7D"/>
    <w:rsid w:val="008C40F3"/>
    <w:rsid w:val="008E2EA4"/>
    <w:rsid w:val="008E6D0A"/>
    <w:rsid w:val="008F1732"/>
    <w:rsid w:val="008F36FB"/>
    <w:rsid w:val="00944DDB"/>
    <w:rsid w:val="0094701D"/>
    <w:rsid w:val="00953458"/>
    <w:rsid w:val="009774DC"/>
    <w:rsid w:val="009827C2"/>
    <w:rsid w:val="009858ED"/>
    <w:rsid w:val="009A489C"/>
    <w:rsid w:val="009B704E"/>
    <w:rsid w:val="009D6143"/>
    <w:rsid w:val="009D7190"/>
    <w:rsid w:val="009D7F71"/>
    <w:rsid w:val="009E3486"/>
    <w:rsid w:val="009E3FDE"/>
    <w:rsid w:val="009E6379"/>
    <w:rsid w:val="009F3881"/>
    <w:rsid w:val="009F4E10"/>
    <w:rsid w:val="00A00890"/>
    <w:rsid w:val="00A12421"/>
    <w:rsid w:val="00A32BF4"/>
    <w:rsid w:val="00A34437"/>
    <w:rsid w:val="00A369C4"/>
    <w:rsid w:val="00A61550"/>
    <w:rsid w:val="00A77D53"/>
    <w:rsid w:val="00A905AA"/>
    <w:rsid w:val="00AC62B6"/>
    <w:rsid w:val="00AE125B"/>
    <w:rsid w:val="00AE34ED"/>
    <w:rsid w:val="00B025B0"/>
    <w:rsid w:val="00B042DF"/>
    <w:rsid w:val="00B06047"/>
    <w:rsid w:val="00B13955"/>
    <w:rsid w:val="00B20D80"/>
    <w:rsid w:val="00B345E8"/>
    <w:rsid w:val="00B375A0"/>
    <w:rsid w:val="00B50FE6"/>
    <w:rsid w:val="00B64797"/>
    <w:rsid w:val="00B65E39"/>
    <w:rsid w:val="00B66D55"/>
    <w:rsid w:val="00B72212"/>
    <w:rsid w:val="00B742E4"/>
    <w:rsid w:val="00B97292"/>
    <w:rsid w:val="00BC0E71"/>
    <w:rsid w:val="00BE56A2"/>
    <w:rsid w:val="00BF79A5"/>
    <w:rsid w:val="00C01E9F"/>
    <w:rsid w:val="00C0234B"/>
    <w:rsid w:val="00C02569"/>
    <w:rsid w:val="00C13926"/>
    <w:rsid w:val="00C20C17"/>
    <w:rsid w:val="00C33B32"/>
    <w:rsid w:val="00C45C94"/>
    <w:rsid w:val="00C474B7"/>
    <w:rsid w:val="00C522C0"/>
    <w:rsid w:val="00C70756"/>
    <w:rsid w:val="00C71195"/>
    <w:rsid w:val="00C80A4B"/>
    <w:rsid w:val="00C81D8D"/>
    <w:rsid w:val="00C82074"/>
    <w:rsid w:val="00C911AF"/>
    <w:rsid w:val="00C960ED"/>
    <w:rsid w:val="00CA51E1"/>
    <w:rsid w:val="00CB20EF"/>
    <w:rsid w:val="00CB4249"/>
    <w:rsid w:val="00CB4670"/>
    <w:rsid w:val="00CD170A"/>
    <w:rsid w:val="00D13C7F"/>
    <w:rsid w:val="00D1711F"/>
    <w:rsid w:val="00D17214"/>
    <w:rsid w:val="00D31A80"/>
    <w:rsid w:val="00D32971"/>
    <w:rsid w:val="00D45E05"/>
    <w:rsid w:val="00D47E4A"/>
    <w:rsid w:val="00D55062"/>
    <w:rsid w:val="00D671DA"/>
    <w:rsid w:val="00D8242B"/>
    <w:rsid w:val="00D904CF"/>
    <w:rsid w:val="00DA1068"/>
    <w:rsid w:val="00DA30E7"/>
    <w:rsid w:val="00DA5594"/>
    <w:rsid w:val="00DD0AFE"/>
    <w:rsid w:val="00DD3FBD"/>
    <w:rsid w:val="00DE0B9B"/>
    <w:rsid w:val="00DF203A"/>
    <w:rsid w:val="00DF2FB7"/>
    <w:rsid w:val="00E0455F"/>
    <w:rsid w:val="00E207F4"/>
    <w:rsid w:val="00E443D7"/>
    <w:rsid w:val="00E53A35"/>
    <w:rsid w:val="00E64929"/>
    <w:rsid w:val="00E72461"/>
    <w:rsid w:val="00E7261C"/>
    <w:rsid w:val="00E72DBE"/>
    <w:rsid w:val="00E87A8D"/>
    <w:rsid w:val="00EB7493"/>
    <w:rsid w:val="00EE473C"/>
    <w:rsid w:val="00F04C90"/>
    <w:rsid w:val="00F05DE7"/>
    <w:rsid w:val="00F16CC5"/>
    <w:rsid w:val="00F30D94"/>
    <w:rsid w:val="00F3585D"/>
    <w:rsid w:val="00F4114D"/>
    <w:rsid w:val="00F416F9"/>
    <w:rsid w:val="00F77427"/>
    <w:rsid w:val="00FA35A3"/>
    <w:rsid w:val="00FA5EC3"/>
    <w:rsid w:val="00FA62E0"/>
    <w:rsid w:val="00FC0BC3"/>
    <w:rsid w:val="00FC228E"/>
    <w:rsid w:val="00FC7395"/>
    <w:rsid w:val="00FD1621"/>
    <w:rsid w:val="00FD69B4"/>
    <w:rsid w:val="00FE7360"/>
    <w:rsid w:val="00FE790C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07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270B6"/>
    <w:rsid w:val="00094622"/>
    <w:rsid w:val="00156AD0"/>
    <w:rsid w:val="00214366"/>
    <w:rsid w:val="00347637"/>
    <w:rsid w:val="003A492E"/>
    <w:rsid w:val="003F584A"/>
    <w:rsid w:val="00704D0D"/>
    <w:rsid w:val="007D3465"/>
    <w:rsid w:val="008A243F"/>
    <w:rsid w:val="00BB787A"/>
    <w:rsid w:val="00C37239"/>
    <w:rsid w:val="00D07095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3ADE-8B0B-490E-B982-005E3775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1231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David Le</cp:lastModifiedBy>
  <cp:revision>37</cp:revision>
  <dcterms:created xsi:type="dcterms:W3CDTF">2019-11-12T04:37:00Z</dcterms:created>
  <dcterms:modified xsi:type="dcterms:W3CDTF">2020-01-14T02:47:00Z</dcterms:modified>
</cp:coreProperties>
</file>