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6766" w14:textId="6853B4C5" w:rsidR="00544D95" w:rsidRDefault="009827C2" w:rsidP="00CB20EF">
      <w:pPr>
        <w:pStyle w:val="Heading1"/>
        <w:ind w:left="284"/>
        <w:rPr>
          <w:b/>
        </w:rPr>
      </w:pPr>
      <w:r>
        <w:rPr>
          <w:b/>
        </w:rPr>
        <w:t>Entering Forecast Data into the Workbook</w:t>
      </w:r>
      <w:r w:rsidR="00544D95">
        <w:rPr>
          <w:b/>
        </w:rPr>
        <w:t>.</w:t>
      </w:r>
    </w:p>
    <w:p w14:paraId="2F8F6E05" w14:textId="3EA2E667" w:rsidR="00AE125B" w:rsidRPr="00AE125B" w:rsidRDefault="00AE125B" w:rsidP="00403FC2">
      <w:pPr>
        <w:pStyle w:val="BodyText"/>
        <w:ind w:firstLine="284"/>
        <w:rPr>
          <w:lang w:val="en-GB"/>
        </w:rPr>
      </w:pPr>
      <w:r w:rsidRPr="00AE125B">
        <w:rPr>
          <w:lang w:val="en-GB"/>
        </w:rPr>
        <w:t xml:space="preserve">On the </w:t>
      </w:r>
      <w:proofErr w:type="gramStart"/>
      <w:r w:rsidR="00CE1934" w:rsidRPr="00AE125B">
        <w:rPr>
          <w:lang w:val="en-GB"/>
        </w:rPr>
        <w:t>‘</w:t>
      </w:r>
      <w:r w:rsidR="00CE1934" w:rsidRPr="00295815">
        <w:rPr>
          <w:b/>
          <w:color w:val="7030A0"/>
          <w:lang w:val="en-GB"/>
        </w:rPr>
        <w:t>Edit</w:t>
      </w:r>
      <w:r w:rsidR="00CE1934">
        <w:rPr>
          <w:lang w:val="en-GB"/>
        </w:rPr>
        <w:t>‘ worksheet</w:t>
      </w:r>
      <w:proofErr w:type="gramEnd"/>
      <w:r w:rsidRPr="00AE125B">
        <w:rPr>
          <w:lang w:val="en-GB"/>
        </w:rPr>
        <w:t xml:space="preserve"> –</w:t>
      </w:r>
    </w:p>
    <w:p w14:paraId="2C7C93B4" w14:textId="77777777" w:rsidR="00AE125B" w:rsidRPr="00AE125B" w:rsidRDefault="00AE125B" w:rsidP="00AE125B">
      <w:pPr>
        <w:pStyle w:val="BodyText"/>
        <w:ind w:left="720"/>
        <w:rPr>
          <w:lang w:val="en-GB"/>
        </w:rPr>
      </w:pPr>
    </w:p>
    <w:p w14:paraId="423B2AB8" w14:textId="5A350BE8" w:rsidR="00AE125B" w:rsidRPr="00AE125B" w:rsidRDefault="00295815" w:rsidP="00CB775D">
      <w:pPr>
        <w:pStyle w:val="BodyText"/>
        <w:numPr>
          <w:ilvl w:val="0"/>
          <w:numId w:val="15"/>
        </w:numPr>
        <w:rPr>
          <w:lang w:val="en-GB"/>
        </w:rPr>
      </w:pPr>
      <w:r>
        <w:rPr>
          <w:lang w:val="en-GB"/>
        </w:rPr>
        <w:t>Select a c</w:t>
      </w:r>
      <w:r w:rsidR="00AE125B" w:rsidRPr="00AE125B">
        <w:rPr>
          <w:lang w:val="en-GB"/>
        </w:rPr>
        <w:t>hart</w:t>
      </w:r>
      <w:r>
        <w:rPr>
          <w:lang w:val="en-GB"/>
        </w:rPr>
        <w:t>s</w:t>
      </w:r>
      <w:r w:rsidR="00FD69B4">
        <w:rPr>
          <w:lang w:val="en-GB"/>
        </w:rPr>
        <w:t>tring to e</w:t>
      </w:r>
      <w:r w:rsidR="00AE125B" w:rsidRPr="00AE125B">
        <w:rPr>
          <w:lang w:val="en-GB"/>
        </w:rPr>
        <w:t xml:space="preserve">dit from the blue </w:t>
      </w:r>
      <w:r w:rsidR="00FD69B4">
        <w:rPr>
          <w:lang w:val="en-GB"/>
        </w:rPr>
        <w:t xml:space="preserve">drop-down </w:t>
      </w:r>
      <w:r w:rsidR="00AE125B" w:rsidRPr="00AE125B">
        <w:rPr>
          <w:lang w:val="en-GB"/>
        </w:rPr>
        <w:t>box in the top left hand corner of the worksheet</w:t>
      </w:r>
    </w:p>
    <w:p w14:paraId="72E2B5E0" w14:textId="77777777" w:rsidR="00AE125B" w:rsidRPr="00AE125B" w:rsidRDefault="00AE125B" w:rsidP="00AE125B">
      <w:pPr>
        <w:pStyle w:val="BodyText"/>
        <w:ind w:left="720"/>
        <w:rPr>
          <w:lang w:val="en-GB"/>
        </w:rPr>
      </w:pPr>
      <w:r w:rsidRPr="00AE125B">
        <w:rPr>
          <w:lang w:val="en-GB"/>
        </w:rPr>
        <w:t xml:space="preserve"> </w:t>
      </w:r>
    </w:p>
    <w:p w14:paraId="7E6834D4" w14:textId="4098A6E1" w:rsidR="00AE125B" w:rsidRPr="00AE125B" w:rsidRDefault="00AE125B" w:rsidP="00CB775D">
      <w:pPr>
        <w:pStyle w:val="BodyText"/>
        <w:numPr>
          <w:ilvl w:val="0"/>
          <w:numId w:val="15"/>
        </w:numPr>
        <w:rPr>
          <w:lang w:val="en-GB"/>
        </w:rPr>
      </w:pPr>
      <w:r w:rsidRPr="00AE125B">
        <w:rPr>
          <w:lang w:val="en-GB"/>
        </w:rPr>
        <w:t>This will automatically load Latest Forecast data for the selected chartstring</w:t>
      </w:r>
    </w:p>
    <w:p w14:paraId="7EBF9CED" w14:textId="77777777" w:rsidR="00AE125B" w:rsidRPr="00AE125B" w:rsidRDefault="00AE125B" w:rsidP="00AE125B">
      <w:pPr>
        <w:pStyle w:val="BodyText"/>
        <w:ind w:left="720"/>
        <w:rPr>
          <w:lang w:val="en-GB"/>
        </w:rPr>
      </w:pPr>
      <w:r w:rsidRPr="00AE125B">
        <w:rPr>
          <w:noProof/>
          <w:lang w:eastAsia="en-AU"/>
        </w:rPr>
        <w:drawing>
          <wp:inline distT="0" distB="0" distL="0" distR="0" wp14:anchorId="11DE8714" wp14:editId="3610298E">
            <wp:extent cx="1843431" cy="1217781"/>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857" t="58751" r="53469" b="13646"/>
                    <a:stretch/>
                  </pic:blipFill>
                  <pic:spPr bwMode="auto">
                    <a:xfrm>
                      <a:off x="0" y="0"/>
                      <a:ext cx="1858431" cy="1227690"/>
                    </a:xfrm>
                    <a:prstGeom prst="rect">
                      <a:avLst/>
                    </a:prstGeom>
                    <a:ln>
                      <a:noFill/>
                    </a:ln>
                    <a:extLst>
                      <a:ext uri="{53640926-AAD7-44D8-BBD7-CCE9431645EC}">
                        <a14:shadowObscured xmlns:a14="http://schemas.microsoft.com/office/drawing/2010/main"/>
                      </a:ext>
                    </a:extLst>
                  </pic:spPr>
                </pic:pic>
              </a:graphicData>
            </a:graphic>
          </wp:inline>
        </w:drawing>
      </w:r>
    </w:p>
    <w:p w14:paraId="17F4304E" w14:textId="6BE6C47C" w:rsidR="00AE125B" w:rsidRPr="00AE125B" w:rsidRDefault="00AE125B" w:rsidP="00AE125B">
      <w:pPr>
        <w:pStyle w:val="BodyText"/>
        <w:ind w:left="720"/>
        <w:rPr>
          <w:lang w:val="en-GB"/>
        </w:rPr>
      </w:pPr>
    </w:p>
    <w:p w14:paraId="0A0AFB87" w14:textId="27847FD7" w:rsidR="00403FC2" w:rsidRPr="00AE125B" w:rsidRDefault="00403FC2" w:rsidP="00403FC2">
      <w:pPr>
        <w:pStyle w:val="BodyText"/>
        <w:pBdr>
          <w:top w:val="single" w:sz="4" w:space="1" w:color="auto"/>
          <w:left w:val="single" w:sz="4" w:space="4" w:color="auto"/>
          <w:bottom w:val="single" w:sz="4" w:space="1" w:color="auto"/>
          <w:right w:val="single" w:sz="4" w:space="4" w:color="auto"/>
        </w:pBdr>
        <w:ind w:left="1134" w:hanging="414"/>
        <w:rPr>
          <w:lang w:val="en-GB"/>
        </w:rPr>
      </w:pPr>
      <w:r>
        <w:rPr>
          <w:lang w:val="en-GB"/>
        </w:rPr>
        <w:t xml:space="preserve"> </w:t>
      </w:r>
      <w:r w:rsidR="00050E8A" w:rsidRPr="00AE125B">
        <w:rPr>
          <w:noProof/>
          <w:lang w:eastAsia="en-AU"/>
        </w:rPr>
        <w:drawing>
          <wp:inline distT="0" distB="0" distL="0" distR="0" wp14:anchorId="4129C0A9" wp14:editId="13786C51">
            <wp:extent cx="180975" cy="257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lum/>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00050E8A">
        <w:rPr>
          <w:lang w:val="en-GB"/>
        </w:rPr>
        <w:t xml:space="preserve"> </w:t>
      </w:r>
      <w:r w:rsidR="00AE125B" w:rsidRPr="00AE125B">
        <w:rPr>
          <w:b/>
          <w:lang w:val="en-GB"/>
        </w:rPr>
        <w:t>TIP</w:t>
      </w:r>
      <w:r w:rsidR="00AE125B" w:rsidRPr="00AE125B">
        <w:rPr>
          <w:lang w:val="en-GB"/>
        </w:rPr>
        <w:t xml:space="preserve"> – You can also select a chartstring to edit from other tabs in the </w:t>
      </w:r>
      <w:r w:rsidR="00050E8A">
        <w:rPr>
          <w:lang w:val="en-GB"/>
        </w:rPr>
        <w:t>workbook by selecting the chart</w:t>
      </w:r>
      <w:r w:rsidR="00AE125B" w:rsidRPr="00AE125B">
        <w:rPr>
          <w:lang w:val="en-GB"/>
        </w:rPr>
        <w:t>string you want to edit and clicking</w:t>
      </w:r>
      <w:r w:rsidR="00AE125B" w:rsidRPr="00AE125B">
        <w:rPr>
          <w:noProof/>
          <w:lang w:eastAsia="en-AU"/>
        </w:rPr>
        <w:drawing>
          <wp:inline distT="0" distB="0" distL="0" distR="0" wp14:anchorId="1320E027" wp14:editId="6F43EC17">
            <wp:extent cx="276225" cy="2571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050E8A">
        <w:rPr>
          <w:lang w:val="en-GB"/>
        </w:rPr>
        <w:t>,</w:t>
      </w:r>
      <w:r w:rsidR="00AE125B" w:rsidRPr="00AE125B">
        <w:rPr>
          <w:lang w:val="en-GB"/>
        </w:rPr>
        <w:t xml:space="preserve"> this will take you to the </w:t>
      </w:r>
      <w:r w:rsidR="00FD69B4" w:rsidRPr="00295815">
        <w:rPr>
          <w:b/>
          <w:color w:val="7030A0"/>
          <w:lang w:val="en-GB"/>
        </w:rPr>
        <w:t>Edit</w:t>
      </w:r>
      <w:r w:rsidR="00FD69B4" w:rsidRPr="00AE125B">
        <w:rPr>
          <w:lang w:val="en-GB"/>
        </w:rPr>
        <w:t xml:space="preserve"> </w:t>
      </w:r>
      <w:r w:rsidR="00AE125B" w:rsidRPr="00AE125B">
        <w:rPr>
          <w:lang w:val="en-GB"/>
        </w:rPr>
        <w:t>tab and load the</w:t>
      </w:r>
      <w:r w:rsidR="00050E8A">
        <w:rPr>
          <w:lang w:val="en-GB"/>
        </w:rPr>
        <w:t xml:space="preserve"> latest forecast data for that c</w:t>
      </w:r>
      <w:r w:rsidR="00AE125B" w:rsidRPr="00AE125B">
        <w:rPr>
          <w:lang w:val="en-GB"/>
        </w:rPr>
        <w:t>hart</w:t>
      </w:r>
      <w:r w:rsidR="00050E8A">
        <w:rPr>
          <w:lang w:val="en-GB"/>
        </w:rPr>
        <w:t>s</w:t>
      </w:r>
      <w:r w:rsidR="00AE125B" w:rsidRPr="00AE125B">
        <w:rPr>
          <w:lang w:val="en-GB"/>
        </w:rPr>
        <w:t>tring.</w:t>
      </w:r>
    </w:p>
    <w:p w14:paraId="76AD3233" w14:textId="77777777" w:rsidR="00AE125B" w:rsidRPr="00AE125B" w:rsidRDefault="00AE125B" w:rsidP="00AE125B">
      <w:pPr>
        <w:pStyle w:val="BodyText"/>
        <w:ind w:left="720"/>
        <w:rPr>
          <w:lang w:val="en-GB"/>
        </w:rPr>
      </w:pPr>
    </w:p>
    <w:p w14:paraId="6D6BBEFE" w14:textId="77777777" w:rsidR="00AE125B" w:rsidRPr="00AE125B" w:rsidRDefault="00AE125B" w:rsidP="00CB775D">
      <w:pPr>
        <w:pStyle w:val="BodyText"/>
        <w:numPr>
          <w:ilvl w:val="0"/>
          <w:numId w:val="15"/>
        </w:numPr>
        <w:rPr>
          <w:lang w:val="en-GB"/>
        </w:rPr>
      </w:pPr>
      <w:r w:rsidRPr="00AE125B">
        <w:rPr>
          <w:lang w:val="en-GB"/>
        </w:rPr>
        <w:t xml:space="preserve">To enter Forecasts you will need to have Periods 01 to Periods 12 unhidden for the current year - if they are hidden on the worksheet </w:t>
      </w:r>
      <w:r w:rsidRPr="00AE125B">
        <w:rPr>
          <w:lang w:val="en-GB"/>
        </w:rPr>
        <w:t>clicking on</w:t>
      </w:r>
      <w:r w:rsidRPr="00AE125B">
        <w:rPr>
          <w:noProof/>
          <w:lang w:eastAsia="en-AU"/>
        </w:rPr>
        <w:drawing>
          <wp:inline distT="0" distB="0" distL="0" distR="0" wp14:anchorId="1BC529D7" wp14:editId="75E2DDC4">
            <wp:extent cx="285750" cy="2762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85750" cy="276225"/>
                    </a:xfrm>
                    <a:prstGeom prst="rect">
                      <a:avLst/>
                    </a:prstGeom>
                    <a:noFill/>
                    <a:ln w="9525">
                      <a:noFill/>
                      <a:miter lim="800000"/>
                      <a:headEnd/>
                      <a:tailEnd/>
                    </a:ln>
                  </pic:spPr>
                </pic:pic>
              </a:graphicData>
            </a:graphic>
          </wp:inline>
        </w:drawing>
      </w:r>
      <w:r w:rsidRPr="00AE125B">
        <w:rPr>
          <w:lang w:val="en-GB"/>
        </w:rPr>
        <w:t xml:space="preserve"> will unhide this data (or double-click on the Period Header).</w:t>
      </w:r>
    </w:p>
    <w:p w14:paraId="598B08D6" w14:textId="77777777" w:rsidR="00AE125B" w:rsidRPr="00AE125B" w:rsidRDefault="00AE125B" w:rsidP="00AE125B">
      <w:pPr>
        <w:pStyle w:val="BodyText"/>
        <w:ind w:left="720"/>
        <w:rPr>
          <w:lang w:val="en-GB"/>
        </w:rPr>
      </w:pPr>
      <w:r w:rsidRPr="00AE125B">
        <w:rPr>
          <w:lang w:val="en-GB"/>
        </w:rPr>
        <w:t xml:space="preserve"> </w:t>
      </w:r>
    </w:p>
    <w:p w14:paraId="45DEEF9B" w14:textId="05F445C8" w:rsidR="00AE125B" w:rsidRPr="00AE125B" w:rsidRDefault="00AE125B" w:rsidP="00CB775D">
      <w:pPr>
        <w:pStyle w:val="BodyText"/>
        <w:numPr>
          <w:ilvl w:val="0"/>
          <w:numId w:val="15"/>
        </w:numPr>
        <w:rPr>
          <w:lang w:val="en-GB"/>
        </w:rPr>
      </w:pPr>
      <w:r w:rsidRPr="00AE125B">
        <w:rPr>
          <w:lang w:val="en-GB"/>
        </w:rPr>
        <w:t xml:space="preserve">The starting view for this worksheet is at the sub-total level – you cannot enter data at this level and will need to drill down to the next level to enter data – the area where data entry is allowed is highlighted in </w:t>
      </w:r>
      <w:r w:rsidRPr="00D92AFC">
        <w:rPr>
          <w:b/>
          <w:color w:val="00B050"/>
          <w:lang w:val="en-GB"/>
        </w:rPr>
        <w:t>green</w:t>
      </w:r>
      <w:r w:rsidR="00050E8A">
        <w:rPr>
          <w:lang w:val="en-GB"/>
        </w:rPr>
        <w:t>. Any YTD actuals for the chart</w:t>
      </w:r>
      <w:r w:rsidRPr="00AE125B">
        <w:rPr>
          <w:lang w:val="en-GB"/>
        </w:rPr>
        <w:t xml:space="preserve">string will be locked and </w:t>
      </w:r>
      <w:r w:rsidRPr="00D904CF">
        <w:rPr>
          <w:color w:val="FF0000"/>
          <w:lang w:val="en-GB"/>
        </w:rPr>
        <w:t xml:space="preserve">cannot </w:t>
      </w:r>
      <w:r w:rsidRPr="00AE125B">
        <w:rPr>
          <w:lang w:val="en-GB"/>
        </w:rPr>
        <w:t xml:space="preserve">be changed (and won’t be shaded </w:t>
      </w:r>
      <w:r w:rsidRPr="00D904CF">
        <w:rPr>
          <w:b/>
          <w:color w:val="00B050"/>
          <w:lang w:val="en-GB"/>
        </w:rPr>
        <w:t>green</w:t>
      </w:r>
      <w:r w:rsidRPr="00D904CF">
        <w:rPr>
          <w:color w:val="00B050"/>
          <w:lang w:val="en-GB"/>
        </w:rPr>
        <w:t xml:space="preserve"> </w:t>
      </w:r>
      <w:r w:rsidRPr="00AE125B">
        <w:rPr>
          <w:lang w:val="en-GB"/>
        </w:rPr>
        <w:t>on the spreadsheet).</w:t>
      </w:r>
    </w:p>
    <w:p w14:paraId="149ADC70" w14:textId="77777777" w:rsidR="00AE125B" w:rsidRPr="00AE125B" w:rsidRDefault="00AE125B" w:rsidP="00E72461">
      <w:pPr>
        <w:pStyle w:val="BodyText"/>
        <w:ind w:left="720"/>
        <w:rPr>
          <w:lang w:val="en-GB"/>
        </w:rPr>
      </w:pPr>
    </w:p>
    <w:p w14:paraId="140760F9" w14:textId="77777777" w:rsidR="00AE125B" w:rsidRPr="00AE125B" w:rsidRDefault="00AE125B" w:rsidP="00E72461">
      <w:pPr>
        <w:pStyle w:val="BodyText"/>
        <w:ind w:left="720"/>
        <w:rPr>
          <w:lang w:val="en-GB"/>
        </w:rPr>
      </w:pPr>
      <w:r w:rsidRPr="00AE125B">
        <w:rPr>
          <w:lang w:val="en-GB"/>
        </w:rPr>
        <w:t>In order to unhide the data entry areas you can either:</w:t>
      </w:r>
    </w:p>
    <w:p w14:paraId="7A1FF157" w14:textId="77777777" w:rsidR="00AE125B" w:rsidRPr="00AE125B" w:rsidRDefault="00AE125B" w:rsidP="00CB775D">
      <w:pPr>
        <w:pStyle w:val="BodyText"/>
        <w:numPr>
          <w:ilvl w:val="0"/>
          <w:numId w:val="17"/>
        </w:numPr>
        <w:rPr>
          <w:lang w:val="en-GB"/>
        </w:rPr>
      </w:pPr>
      <w:r w:rsidRPr="00AE125B">
        <w:rPr>
          <w:lang w:val="en-GB"/>
        </w:rPr>
        <w:t xml:space="preserve">Unhide All rows by clicking </w:t>
      </w:r>
      <w:r w:rsidRPr="00AE125B">
        <w:rPr>
          <w:noProof/>
          <w:lang w:eastAsia="en-AU"/>
        </w:rPr>
        <w:drawing>
          <wp:inline distT="0" distB="0" distL="0" distR="0" wp14:anchorId="1B629F0B" wp14:editId="317C1FC5">
            <wp:extent cx="257175" cy="2667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p>
    <w:p w14:paraId="367AA259" w14:textId="77777777" w:rsidR="00AE125B" w:rsidRPr="00AE125B" w:rsidRDefault="00AE125B" w:rsidP="00CB775D">
      <w:pPr>
        <w:pStyle w:val="BodyText"/>
        <w:numPr>
          <w:ilvl w:val="0"/>
          <w:numId w:val="17"/>
        </w:numPr>
        <w:rPr>
          <w:lang w:val="en-GB"/>
        </w:rPr>
      </w:pPr>
      <w:r w:rsidRPr="00AE125B">
        <w:rPr>
          <w:lang w:val="en-GB"/>
        </w:rPr>
        <w:t>Unhide One Row by selecting the account you want to edit and clicking</w:t>
      </w:r>
      <w:r w:rsidRPr="00AE125B">
        <w:rPr>
          <w:noProof/>
          <w:lang w:eastAsia="en-AU"/>
        </w:rPr>
        <w:drawing>
          <wp:inline distT="0" distB="0" distL="0" distR="0" wp14:anchorId="01DB99F1" wp14:editId="60AD7011">
            <wp:extent cx="266700" cy="266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14:paraId="19B30108" w14:textId="77777777" w:rsidR="00AE125B" w:rsidRPr="00AE125B" w:rsidRDefault="00AE125B" w:rsidP="00CB775D">
      <w:pPr>
        <w:pStyle w:val="BodyText"/>
        <w:numPr>
          <w:ilvl w:val="0"/>
          <w:numId w:val="17"/>
        </w:numPr>
        <w:rPr>
          <w:lang w:val="en-GB"/>
        </w:rPr>
      </w:pPr>
      <w:r w:rsidRPr="00AE125B">
        <w:rPr>
          <w:lang w:val="en-GB"/>
        </w:rPr>
        <w:t>Using</w:t>
      </w:r>
      <w:r w:rsidRPr="00AE125B">
        <w:rPr>
          <w:noProof/>
          <w:lang w:eastAsia="en-AU"/>
        </w:rPr>
        <w:drawing>
          <wp:inline distT="0" distB="0" distL="0" distR="0" wp14:anchorId="78B11AE2" wp14:editId="3D6157B9">
            <wp:extent cx="257175" cy="2571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E125B">
        <w:rPr>
          <w:lang w:val="en-GB"/>
        </w:rPr>
        <w:t xml:space="preserve"> or</w:t>
      </w:r>
      <w:r w:rsidRPr="00AE125B">
        <w:rPr>
          <w:noProof/>
          <w:lang w:eastAsia="en-AU"/>
        </w:rPr>
        <w:drawing>
          <wp:inline distT="0" distB="0" distL="0" distR="0" wp14:anchorId="5A6F255A" wp14:editId="74F8E308">
            <wp:extent cx="257175" cy="26670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E125B">
        <w:rPr>
          <w:lang w:val="en-GB"/>
        </w:rPr>
        <w:t xml:space="preserve"> will re-hide these rows to show only sub-total accounts</w:t>
      </w:r>
    </w:p>
    <w:p w14:paraId="033B5B70" w14:textId="77777777" w:rsidR="00AE125B" w:rsidRPr="00AE125B" w:rsidRDefault="00AE125B" w:rsidP="00AE125B">
      <w:pPr>
        <w:pStyle w:val="BodyText"/>
        <w:ind w:left="284"/>
        <w:rPr>
          <w:lang w:val="en-GB"/>
        </w:rPr>
      </w:pPr>
    </w:p>
    <w:p w14:paraId="172F8EC3" w14:textId="581B8FB1" w:rsidR="00AE125B" w:rsidRPr="00AE125B" w:rsidRDefault="00662576" w:rsidP="00042599">
      <w:pPr>
        <w:pStyle w:val="BodyText"/>
        <w:ind w:left="284"/>
        <w:rPr>
          <w:lang w:val="en-GB"/>
        </w:rPr>
      </w:pPr>
      <w:r>
        <w:rPr>
          <w:noProof/>
          <w:lang w:eastAsia="en-AU"/>
        </w:rPr>
        <w:lastRenderedPageBreak/>
        <w:drawing>
          <wp:inline distT="0" distB="0" distL="0" distR="0" wp14:anchorId="34645B62" wp14:editId="0D6D82EE">
            <wp:extent cx="4220324" cy="1784909"/>
            <wp:effectExtent l="0" t="0" r="0" b="6350"/>
            <wp:docPr id="1692701" name="Picture 169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5198" b="3088"/>
                    <a:stretch/>
                  </pic:blipFill>
                  <pic:spPr bwMode="auto">
                    <a:xfrm>
                      <a:off x="0" y="0"/>
                      <a:ext cx="4314139" cy="1824586"/>
                    </a:xfrm>
                    <a:prstGeom prst="rect">
                      <a:avLst/>
                    </a:prstGeom>
                    <a:ln>
                      <a:noFill/>
                    </a:ln>
                    <a:extLst>
                      <a:ext uri="{53640926-AAD7-44D8-BBD7-CCE9431645EC}">
                        <a14:shadowObscured xmlns:a14="http://schemas.microsoft.com/office/drawing/2010/main"/>
                      </a:ext>
                    </a:extLst>
                  </pic:spPr>
                </pic:pic>
              </a:graphicData>
            </a:graphic>
          </wp:inline>
        </w:drawing>
      </w:r>
    </w:p>
    <w:p w14:paraId="3C334573" w14:textId="3AC667CF" w:rsidR="00AE125B" w:rsidRPr="00AE125B" w:rsidRDefault="00E72461" w:rsidP="00042599">
      <w:pPr>
        <w:pStyle w:val="BodyText"/>
        <w:pBdr>
          <w:top w:val="single" w:sz="4" w:space="1" w:color="auto"/>
          <w:left w:val="single" w:sz="4" w:space="4" w:color="auto"/>
          <w:bottom w:val="single" w:sz="4" w:space="1" w:color="auto"/>
          <w:right w:val="single" w:sz="4" w:space="4" w:color="auto"/>
        </w:pBdr>
        <w:ind w:left="851" w:hanging="567"/>
        <w:rPr>
          <w:lang w:val="en-GB"/>
        </w:rPr>
      </w:pPr>
      <w:r>
        <w:rPr>
          <w:b/>
          <w:lang w:val="en-GB"/>
        </w:rPr>
        <w:t xml:space="preserve"> </w:t>
      </w:r>
      <w:r w:rsidR="00050E8A" w:rsidRPr="00AE125B">
        <w:rPr>
          <w:noProof/>
          <w:lang w:eastAsia="en-AU"/>
        </w:rPr>
        <w:drawing>
          <wp:inline distT="0" distB="0" distL="0" distR="0" wp14:anchorId="5C9D1ADC" wp14:editId="7A0EE66E">
            <wp:extent cx="1809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lum/>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00050E8A">
        <w:rPr>
          <w:b/>
          <w:lang w:val="en-GB"/>
        </w:rPr>
        <w:t xml:space="preserve"> </w:t>
      </w:r>
      <w:r>
        <w:rPr>
          <w:b/>
          <w:lang w:val="en-GB"/>
        </w:rPr>
        <w:t xml:space="preserve"> </w:t>
      </w:r>
      <w:r w:rsidR="00AE125B" w:rsidRPr="00AE125B">
        <w:rPr>
          <w:b/>
          <w:lang w:val="en-GB"/>
        </w:rPr>
        <w:t>TIP</w:t>
      </w:r>
      <w:r w:rsidR="00552285">
        <w:rPr>
          <w:lang w:val="en-GB"/>
        </w:rPr>
        <w:t xml:space="preserve"> – You can also double-click on the rows under each account l</w:t>
      </w:r>
      <w:r w:rsidR="00D92AFC">
        <w:rPr>
          <w:lang w:val="en-GB"/>
        </w:rPr>
        <w:t>evel o</w:t>
      </w:r>
      <w:r w:rsidR="00AE125B" w:rsidRPr="00AE125B">
        <w:rPr>
          <w:lang w:val="en-GB"/>
        </w:rPr>
        <w:t xml:space="preserve">n the </w:t>
      </w:r>
      <w:r w:rsidR="00552285" w:rsidRPr="00295815">
        <w:rPr>
          <w:b/>
          <w:color w:val="7030A0"/>
          <w:lang w:val="en-GB"/>
        </w:rPr>
        <w:t>Edit</w:t>
      </w:r>
      <w:r w:rsidR="00552285" w:rsidRPr="00AE125B">
        <w:rPr>
          <w:lang w:val="en-GB"/>
        </w:rPr>
        <w:t xml:space="preserve"> </w:t>
      </w:r>
      <w:r w:rsidR="00AE125B" w:rsidRPr="00AE125B">
        <w:rPr>
          <w:lang w:val="en-GB"/>
        </w:rPr>
        <w:t xml:space="preserve">tab to </w:t>
      </w:r>
      <w:r w:rsidR="00552285">
        <w:rPr>
          <w:lang w:val="en-GB"/>
        </w:rPr>
        <w:t>d</w:t>
      </w:r>
      <w:r w:rsidR="00AE125B" w:rsidRPr="00AE125B">
        <w:rPr>
          <w:lang w:val="en-GB"/>
        </w:rPr>
        <w:t xml:space="preserve">rill </w:t>
      </w:r>
      <w:r w:rsidR="00552285">
        <w:rPr>
          <w:lang w:val="en-GB"/>
        </w:rPr>
        <w:t>down or u</w:t>
      </w:r>
      <w:r w:rsidR="00AE125B" w:rsidRPr="00AE125B">
        <w:rPr>
          <w:lang w:val="en-GB"/>
        </w:rPr>
        <w:t>p a level.</w:t>
      </w:r>
    </w:p>
    <w:p w14:paraId="15FC3036" w14:textId="77777777" w:rsidR="00AE125B" w:rsidRPr="00AE125B" w:rsidRDefault="00AE125B" w:rsidP="00AE125B">
      <w:pPr>
        <w:pStyle w:val="BodyText"/>
        <w:ind w:left="720"/>
        <w:rPr>
          <w:lang w:val="en-GB"/>
        </w:rPr>
      </w:pPr>
    </w:p>
    <w:p w14:paraId="4A6876EF" w14:textId="401221BB" w:rsidR="00AE125B" w:rsidRPr="00AE125B" w:rsidRDefault="00AE125B" w:rsidP="00CB775D">
      <w:pPr>
        <w:pStyle w:val="BodyText"/>
        <w:numPr>
          <w:ilvl w:val="0"/>
          <w:numId w:val="15"/>
        </w:numPr>
        <w:rPr>
          <w:lang w:val="en-GB"/>
        </w:rPr>
      </w:pPr>
      <w:r w:rsidRPr="00AE125B">
        <w:rPr>
          <w:lang w:val="en-GB"/>
        </w:rPr>
        <w:t xml:space="preserve">Enter any </w:t>
      </w:r>
      <w:r w:rsidR="00050E8A">
        <w:rPr>
          <w:lang w:val="en-GB"/>
        </w:rPr>
        <w:t>forecast changes for that chart</w:t>
      </w:r>
      <w:r w:rsidRPr="00AE125B">
        <w:rPr>
          <w:lang w:val="en-GB"/>
        </w:rPr>
        <w:t>string as required and check the Full Y</w:t>
      </w:r>
      <w:r w:rsidR="008E6D0A">
        <w:rPr>
          <w:lang w:val="en-GB"/>
        </w:rPr>
        <w:t>ear Forecast totals in column AA</w:t>
      </w:r>
      <w:r w:rsidRPr="00AE125B">
        <w:rPr>
          <w:lang w:val="en-GB"/>
        </w:rPr>
        <w:t xml:space="preserve"> are as expected.</w:t>
      </w:r>
    </w:p>
    <w:p w14:paraId="24A786A4" w14:textId="77777777" w:rsidR="00AE125B" w:rsidRPr="00AE125B" w:rsidRDefault="00AE125B" w:rsidP="00AE125B">
      <w:pPr>
        <w:pStyle w:val="BodyText"/>
        <w:ind w:left="720"/>
        <w:rPr>
          <w:lang w:val="en-GB"/>
        </w:rPr>
      </w:pPr>
      <w:r w:rsidRPr="00AE125B">
        <w:rPr>
          <w:lang w:val="en-GB"/>
        </w:rPr>
        <w:t xml:space="preserve">  </w:t>
      </w:r>
    </w:p>
    <w:p w14:paraId="49E516EC" w14:textId="77777777" w:rsidR="00AE125B" w:rsidRPr="00AE125B" w:rsidRDefault="00AE125B" w:rsidP="00CB775D">
      <w:pPr>
        <w:pStyle w:val="BodyText"/>
        <w:numPr>
          <w:ilvl w:val="0"/>
          <w:numId w:val="15"/>
        </w:numPr>
        <w:rPr>
          <w:lang w:val="en-GB"/>
        </w:rPr>
      </w:pPr>
      <w:r w:rsidRPr="00AE125B">
        <w:rPr>
          <w:lang w:val="en-GB"/>
        </w:rPr>
        <w:t>You can enter forecast data by manually keying the data into the worksheet. The sub-totals will update automatically. You can also use the following buttons to help with updating the forecasts -</w:t>
      </w:r>
    </w:p>
    <w:p w14:paraId="74AD314D" w14:textId="77777777" w:rsidR="00AE125B" w:rsidRPr="00AE125B" w:rsidRDefault="00AE125B" w:rsidP="00E72461">
      <w:pPr>
        <w:pStyle w:val="BodyText"/>
        <w:ind w:left="360"/>
        <w:rPr>
          <w:lang w:val="en-GB"/>
        </w:rPr>
      </w:pPr>
    </w:p>
    <w:p w14:paraId="33494172" w14:textId="176BCF5A" w:rsidR="00AE125B" w:rsidRPr="00AE125B" w:rsidRDefault="00AE125B" w:rsidP="000F4518">
      <w:pPr>
        <w:pStyle w:val="BodyText"/>
        <w:ind w:left="709" w:hanging="425"/>
        <w:rPr>
          <w:lang w:val="en-GB"/>
        </w:rPr>
      </w:pPr>
      <w:r w:rsidRPr="00AE125B">
        <w:rPr>
          <w:noProof/>
          <w:lang w:eastAsia="en-AU"/>
        </w:rPr>
        <w:drawing>
          <wp:inline distT="0" distB="0" distL="0" distR="0" wp14:anchorId="514AFC54" wp14:editId="44BF098B">
            <wp:extent cx="257175" cy="257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E125B">
        <w:rPr>
          <w:lang w:val="en-GB"/>
        </w:rPr>
        <w:t xml:space="preserve"> </w:t>
      </w:r>
      <w:r w:rsidRPr="00CE1934">
        <w:rPr>
          <w:b/>
          <w:color w:val="7030A0"/>
          <w:lang w:val="en-GB"/>
        </w:rPr>
        <w:t>Adjust Re</w:t>
      </w:r>
      <w:r w:rsidR="00214B81">
        <w:rPr>
          <w:b/>
          <w:color w:val="7030A0"/>
          <w:lang w:val="en-GB"/>
        </w:rPr>
        <w:t>maining Forecast to Last_Submission_</w:t>
      </w:r>
      <w:r w:rsidR="00D92AFC">
        <w:rPr>
          <w:b/>
          <w:color w:val="7030A0"/>
          <w:lang w:val="en-GB"/>
        </w:rPr>
        <w:t>Period</w:t>
      </w:r>
      <w:r w:rsidRPr="00127D06">
        <w:rPr>
          <w:color w:val="7030A0"/>
          <w:lang w:val="en-GB"/>
        </w:rPr>
        <w:t xml:space="preserve"> </w:t>
      </w:r>
      <w:r w:rsidRPr="00AE125B">
        <w:rPr>
          <w:lang w:val="en-GB"/>
        </w:rPr>
        <w:t xml:space="preserve">- This prompts the user with the adjustment required to make the full year forecast equal to the Last </w:t>
      </w:r>
      <w:r w:rsidR="00D92AFC">
        <w:rPr>
          <w:lang w:val="en-GB"/>
        </w:rPr>
        <w:t>Submission Period</w:t>
      </w:r>
      <w:r w:rsidRPr="00AE125B">
        <w:rPr>
          <w:lang w:val="en-GB"/>
        </w:rPr>
        <w:t xml:space="preserve"> forecast amount. The adjustment is all posted into the next forecast period post the Last Actual Period (LAP).   </w:t>
      </w:r>
    </w:p>
    <w:p w14:paraId="1C60909A" w14:textId="4BB4B5BE" w:rsidR="00AE125B" w:rsidRPr="00AE125B" w:rsidRDefault="00AE125B" w:rsidP="00CB775D">
      <w:pPr>
        <w:pStyle w:val="BodyText"/>
        <w:numPr>
          <w:ilvl w:val="0"/>
          <w:numId w:val="19"/>
        </w:numPr>
        <w:rPr>
          <w:lang w:val="en-GB"/>
        </w:rPr>
      </w:pPr>
      <w:r w:rsidRPr="00AE125B">
        <w:rPr>
          <w:lang w:val="en-GB"/>
        </w:rPr>
        <w:t xml:space="preserve">Forecast in </w:t>
      </w:r>
      <w:proofErr w:type="spellStart"/>
      <w:r w:rsidR="00D92AFC">
        <w:rPr>
          <w:lang w:val="en-GB"/>
        </w:rPr>
        <w:t>FYR</w:t>
      </w:r>
      <w:proofErr w:type="spellEnd"/>
      <w:r w:rsidRPr="00AE125B">
        <w:rPr>
          <w:lang w:val="en-GB"/>
        </w:rPr>
        <w:t xml:space="preserve"> will adjust to </w:t>
      </w:r>
      <w:r w:rsidR="00D92AFC">
        <w:rPr>
          <w:lang w:val="en-GB"/>
        </w:rPr>
        <w:t>MYR</w:t>
      </w:r>
      <w:r w:rsidRPr="00AE125B">
        <w:rPr>
          <w:lang w:val="en-GB"/>
        </w:rPr>
        <w:t xml:space="preserve"> Data Sets</w:t>
      </w:r>
    </w:p>
    <w:p w14:paraId="3F9823C9" w14:textId="03F874C8" w:rsidR="00AE125B" w:rsidRPr="00AE125B" w:rsidRDefault="00AE125B" w:rsidP="00CB775D">
      <w:pPr>
        <w:pStyle w:val="BodyText"/>
        <w:numPr>
          <w:ilvl w:val="0"/>
          <w:numId w:val="19"/>
        </w:numPr>
        <w:rPr>
          <w:lang w:val="en-GB"/>
        </w:rPr>
      </w:pPr>
      <w:r w:rsidRPr="00AE125B">
        <w:rPr>
          <w:lang w:val="en-GB"/>
        </w:rPr>
        <w:t xml:space="preserve">Forecast in </w:t>
      </w:r>
      <w:r w:rsidR="00D92AFC">
        <w:rPr>
          <w:lang w:val="en-GB"/>
        </w:rPr>
        <w:t>MYR</w:t>
      </w:r>
      <w:r w:rsidRPr="00AE125B">
        <w:rPr>
          <w:lang w:val="en-GB"/>
        </w:rPr>
        <w:t xml:space="preserve"> will adjust to </w:t>
      </w:r>
      <w:r w:rsidR="00D92AFC">
        <w:rPr>
          <w:lang w:val="en-GB"/>
        </w:rPr>
        <w:t>BUD</w:t>
      </w:r>
      <w:r w:rsidRPr="00AE125B">
        <w:rPr>
          <w:lang w:val="en-GB"/>
        </w:rPr>
        <w:t xml:space="preserve"> Data Sets</w:t>
      </w:r>
    </w:p>
    <w:p w14:paraId="64A5C22A" w14:textId="387F710C" w:rsidR="00AE125B" w:rsidRPr="00AE125B" w:rsidRDefault="00AE125B" w:rsidP="00042599">
      <w:pPr>
        <w:pStyle w:val="BodyText"/>
        <w:ind w:left="709" w:hanging="425"/>
        <w:rPr>
          <w:lang w:val="en-GB"/>
        </w:rPr>
      </w:pPr>
      <w:r w:rsidRPr="00AE125B">
        <w:rPr>
          <w:noProof/>
          <w:lang w:eastAsia="en-AU"/>
        </w:rPr>
        <w:drawing>
          <wp:inline distT="0" distB="0" distL="0" distR="0" wp14:anchorId="6FDDE9F7" wp14:editId="2F65AC15">
            <wp:extent cx="257175" cy="257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E125B">
        <w:rPr>
          <w:lang w:val="en-GB"/>
        </w:rPr>
        <w:t xml:space="preserve"> </w:t>
      </w:r>
      <w:r w:rsidRPr="00CE1934">
        <w:rPr>
          <w:b/>
          <w:color w:val="7030A0"/>
          <w:lang w:val="en-GB"/>
        </w:rPr>
        <w:t>Adjust Remaining Forecast</w:t>
      </w:r>
      <w:r w:rsidRPr="00127D06">
        <w:rPr>
          <w:color w:val="7030A0"/>
          <w:lang w:val="en-GB"/>
        </w:rPr>
        <w:t xml:space="preserve"> </w:t>
      </w:r>
      <w:r w:rsidRPr="00AE125B">
        <w:rPr>
          <w:lang w:val="en-GB"/>
        </w:rPr>
        <w:t>- This prompts the user to enter the amount they want to either increase or decrease the full year forecast by and then spreads the required change evenly over the remaining periods in the current forecast year.</w:t>
      </w:r>
    </w:p>
    <w:p w14:paraId="4616B1C1" w14:textId="77777777" w:rsidR="00AE125B" w:rsidRPr="00AE125B" w:rsidRDefault="00AE125B" w:rsidP="00AE125B">
      <w:pPr>
        <w:pStyle w:val="BodyText"/>
        <w:ind w:left="284"/>
        <w:rPr>
          <w:lang w:val="en-GB"/>
        </w:rPr>
      </w:pPr>
    </w:p>
    <w:p w14:paraId="6FAE138D" w14:textId="77777777" w:rsidR="00AE125B" w:rsidRPr="00AE125B" w:rsidRDefault="00AE125B" w:rsidP="000F4518">
      <w:pPr>
        <w:pStyle w:val="BodyText"/>
        <w:ind w:left="709" w:hanging="425"/>
      </w:pPr>
      <w:r w:rsidRPr="00AE125B">
        <w:rPr>
          <w:noProof/>
          <w:lang w:eastAsia="en-AU"/>
        </w:rPr>
        <w:drawing>
          <wp:inline distT="0" distB="0" distL="0" distR="0" wp14:anchorId="6A876523" wp14:editId="673FE2CD">
            <wp:extent cx="238125" cy="238125"/>
            <wp:effectExtent l="19050" t="0" r="9525" b="0"/>
            <wp:docPr id="2" name="Picture 1" descr="Reset to Nil for NA"/>
            <wp:cNvGraphicFramePr/>
            <a:graphic xmlns:a="http://schemas.openxmlformats.org/drawingml/2006/main">
              <a:graphicData uri="http://schemas.openxmlformats.org/drawingml/2006/picture">
                <pic:pic xmlns:pic="http://schemas.openxmlformats.org/drawingml/2006/picture">
                  <pic:nvPicPr>
                    <pic:cNvPr id="914820" name="Picture 95279" descr="Reset to Nil for NA"/>
                    <pic:cNvPicPr>
                      <a:picLocks noChangeAspect="1" noChangeArrowheads="1"/>
                    </pic:cNvPicPr>
                  </pic:nvPicPr>
                  <pic:blipFill>
                    <a:blip r:embed="rId1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AE125B">
        <w:rPr>
          <w:lang w:val="en-GB"/>
        </w:rPr>
        <w:t xml:space="preserve"> </w:t>
      </w:r>
      <w:r w:rsidRPr="00CE1934">
        <w:rPr>
          <w:b/>
          <w:color w:val="7030A0"/>
          <w:lang w:val="en-GB"/>
        </w:rPr>
        <w:t>Clear Forecast</w:t>
      </w:r>
      <w:r w:rsidRPr="00127D06">
        <w:rPr>
          <w:color w:val="7030A0"/>
          <w:lang w:val="en-GB"/>
        </w:rPr>
        <w:t xml:space="preserve"> </w:t>
      </w:r>
      <w:r w:rsidRPr="00AE125B">
        <w:rPr>
          <w:lang w:val="en-GB"/>
        </w:rPr>
        <w:t>– This clears the forecast to zero for the remaining forecast periods and future years. It also gives the option of clicking “OK” to put an entry into the first forecast period to show any YTD actuals being reversed or clicking “Cancel” to just clear out the forecast periods.</w:t>
      </w:r>
    </w:p>
    <w:p w14:paraId="0430EB48" w14:textId="77777777" w:rsidR="00AE125B" w:rsidRPr="00AE125B" w:rsidRDefault="00AE125B" w:rsidP="00AE125B">
      <w:pPr>
        <w:pStyle w:val="BodyText"/>
        <w:ind w:left="720"/>
        <w:rPr>
          <w:lang w:val="en-GB"/>
        </w:rPr>
      </w:pPr>
    </w:p>
    <w:p w14:paraId="63BEE1BA" w14:textId="138C4A48" w:rsidR="00AE125B" w:rsidRPr="00AE125B" w:rsidRDefault="00AE125B" w:rsidP="00AE125B">
      <w:pPr>
        <w:pStyle w:val="BodyText"/>
        <w:ind w:left="720"/>
        <w:rPr>
          <w:lang w:val="en-GB"/>
        </w:rPr>
      </w:pPr>
      <w:r w:rsidRPr="00AE125B">
        <w:rPr>
          <w:lang w:val="en-GB"/>
        </w:rPr>
        <w:t xml:space="preserve"> </w:t>
      </w:r>
      <w:r w:rsidR="00E72461" w:rsidRPr="00E72461">
        <w:rPr>
          <w:b/>
          <w:color w:val="FF0000"/>
          <w:lang w:val="en-GB"/>
        </w:rPr>
        <w:t>Note</w:t>
      </w:r>
      <w:r w:rsidRPr="006E6A1A">
        <w:rPr>
          <w:b/>
          <w:color w:val="FF0000"/>
          <w:lang w:val="en-GB"/>
        </w:rPr>
        <w:t xml:space="preserve">: </w:t>
      </w:r>
      <w:r w:rsidRPr="006E6A1A">
        <w:rPr>
          <w:color w:val="FF0000"/>
          <w:lang w:val="en-GB"/>
        </w:rPr>
        <w:t xml:space="preserve"> </w:t>
      </w:r>
      <w:r w:rsidRPr="00AE125B">
        <w:rPr>
          <w:b/>
          <w:lang w:val="en-GB"/>
        </w:rPr>
        <w:t xml:space="preserve">The workbook is in the </w:t>
      </w:r>
      <w:r w:rsidRPr="00AE125B">
        <w:rPr>
          <w:b/>
          <w:u w:val="single"/>
          <w:lang w:val="en-GB"/>
        </w:rPr>
        <w:t>general ledger</w:t>
      </w:r>
      <w:r w:rsidRPr="00AE125B">
        <w:rPr>
          <w:b/>
          <w:lang w:val="en-GB"/>
        </w:rPr>
        <w:t xml:space="preserve"> format so income should be entered as a negative and expenses as a positive.</w:t>
      </w:r>
    </w:p>
    <w:p w14:paraId="2CE67BBB" w14:textId="77777777" w:rsidR="00AE125B" w:rsidRPr="00AE125B" w:rsidRDefault="00AE125B" w:rsidP="00AE125B">
      <w:pPr>
        <w:pStyle w:val="BodyText"/>
        <w:ind w:left="720"/>
        <w:rPr>
          <w:lang w:val="en-GB"/>
        </w:rPr>
      </w:pPr>
    </w:p>
    <w:p w14:paraId="212582A3" w14:textId="17D1DD2F" w:rsidR="00AE125B" w:rsidRPr="00AE125B" w:rsidRDefault="00AE125B" w:rsidP="00CB775D">
      <w:pPr>
        <w:pStyle w:val="BodyText"/>
        <w:numPr>
          <w:ilvl w:val="0"/>
          <w:numId w:val="15"/>
        </w:numPr>
        <w:rPr>
          <w:lang w:val="en-GB"/>
        </w:rPr>
      </w:pPr>
      <w:r w:rsidRPr="00AE125B">
        <w:rPr>
          <w:lang w:val="en-GB"/>
        </w:rPr>
        <w:t xml:space="preserve"> Once the Full Year </w:t>
      </w:r>
      <w:r w:rsidR="00127D06">
        <w:rPr>
          <w:lang w:val="en-GB"/>
        </w:rPr>
        <w:t>f</w:t>
      </w:r>
      <w:r w:rsidRPr="00AE125B">
        <w:rPr>
          <w:lang w:val="en-GB"/>
        </w:rPr>
        <w:t xml:space="preserve">orecast totals are as expected for the </w:t>
      </w:r>
      <w:r w:rsidR="00127D06">
        <w:rPr>
          <w:lang w:val="en-GB"/>
        </w:rPr>
        <w:t>c</w:t>
      </w:r>
      <w:r w:rsidR="00050E8A">
        <w:rPr>
          <w:lang w:val="en-GB"/>
        </w:rPr>
        <w:t>hart</w:t>
      </w:r>
      <w:r w:rsidR="00127D06">
        <w:rPr>
          <w:lang w:val="en-GB"/>
        </w:rPr>
        <w:t>s</w:t>
      </w:r>
      <w:r w:rsidRPr="00AE125B">
        <w:rPr>
          <w:lang w:val="en-GB"/>
        </w:rPr>
        <w:t>tring you need to post the forecast changes made to the workbook by clicking</w:t>
      </w:r>
      <w:r w:rsidRPr="00AE125B">
        <w:rPr>
          <w:noProof/>
          <w:lang w:eastAsia="en-AU"/>
        </w:rPr>
        <w:drawing>
          <wp:inline distT="0" distB="0" distL="0" distR="0" wp14:anchorId="18ECD2AD" wp14:editId="505B0885">
            <wp:extent cx="266700" cy="2667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AE125B">
        <w:rPr>
          <w:lang w:val="en-GB"/>
        </w:rPr>
        <w:t xml:space="preserve">. </w:t>
      </w:r>
      <w:r w:rsidR="00127D06">
        <w:rPr>
          <w:lang w:val="en-GB"/>
        </w:rPr>
        <w:t>This updates the f</w:t>
      </w:r>
      <w:r w:rsidRPr="00AE125B">
        <w:rPr>
          <w:lang w:val="en-GB"/>
        </w:rPr>
        <w:t xml:space="preserve">orecast for </w:t>
      </w:r>
      <w:r w:rsidR="00127D06">
        <w:rPr>
          <w:lang w:val="en-GB"/>
        </w:rPr>
        <w:t>t</w:t>
      </w:r>
      <w:r w:rsidR="003B5BC8">
        <w:rPr>
          <w:lang w:val="en-GB"/>
        </w:rPr>
        <w:t>he</w:t>
      </w:r>
      <w:r w:rsidR="00050E8A">
        <w:rPr>
          <w:lang w:val="en-GB"/>
        </w:rPr>
        <w:t xml:space="preserve"> chart</w:t>
      </w:r>
      <w:r w:rsidRPr="00AE125B">
        <w:rPr>
          <w:lang w:val="en-GB"/>
        </w:rPr>
        <w:t>string and stores the data in the workbook.</w:t>
      </w:r>
      <w:r w:rsidR="00127D06">
        <w:rPr>
          <w:lang w:val="en-GB"/>
        </w:rPr>
        <w:t xml:space="preserve"> </w:t>
      </w:r>
      <w:r w:rsidR="003B5BC8">
        <w:rPr>
          <w:lang w:val="en-GB"/>
        </w:rPr>
        <w:t>S</w:t>
      </w:r>
      <w:r w:rsidR="00127D06">
        <w:rPr>
          <w:lang w:val="en-GB"/>
        </w:rPr>
        <w:t xml:space="preserve">uccessful save will </w:t>
      </w:r>
      <w:r w:rsidR="003B5BC8">
        <w:rPr>
          <w:lang w:val="en-GB"/>
        </w:rPr>
        <w:t xml:space="preserve">trigger the </w:t>
      </w:r>
      <w:r w:rsidR="00127D06">
        <w:rPr>
          <w:lang w:val="en-GB"/>
        </w:rPr>
        <w:t xml:space="preserve">traffic light indicator </w:t>
      </w:r>
      <w:r w:rsidR="003B5BC8">
        <w:rPr>
          <w:lang w:val="en-GB"/>
        </w:rPr>
        <w:t>to a green tick</w:t>
      </w:r>
      <w:r w:rsidR="00127D06">
        <w:rPr>
          <w:noProof/>
          <w:lang w:eastAsia="en-AU"/>
        </w:rPr>
        <w:drawing>
          <wp:inline distT="0" distB="0" distL="0" distR="0" wp14:anchorId="2C02CC46" wp14:editId="02636BA1">
            <wp:extent cx="342901" cy="285750"/>
            <wp:effectExtent l="0" t="0" r="0"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rotWithShape="1">
                    <a:blip r:embed="rId21"/>
                    <a:srcRect l="13887" t="58124" r="80795" b="35863"/>
                    <a:stretch/>
                  </pic:blipFill>
                  <pic:spPr>
                    <a:xfrm>
                      <a:off x="0" y="0"/>
                      <a:ext cx="342901" cy="285750"/>
                    </a:xfrm>
                    <a:prstGeom prst="rect">
                      <a:avLst/>
                    </a:prstGeom>
                  </pic:spPr>
                </pic:pic>
              </a:graphicData>
            </a:graphic>
          </wp:inline>
        </w:drawing>
      </w:r>
      <w:r w:rsidR="003B5BC8">
        <w:rPr>
          <w:lang w:val="en-GB"/>
        </w:rPr>
        <w:t>.</w:t>
      </w:r>
    </w:p>
    <w:p w14:paraId="3711688E" w14:textId="77777777" w:rsidR="00AE125B" w:rsidRPr="00AE125B" w:rsidRDefault="00AE125B" w:rsidP="00AE125B">
      <w:pPr>
        <w:pStyle w:val="BodyText"/>
        <w:ind w:left="284"/>
        <w:rPr>
          <w:lang w:val="en-GB"/>
        </w:rPr>
      </w:pPr>
    </w:p>
    <w:p w14:paraId="31E4D20C" w14:textId="5E2681BF" w:rsidR="00AE125B" w:rsidRPr="00AE125B" w:rsidRDefault="006E6A1A" w:rsidP="00AE125B">
      <w:pPr>
        <w:pStyle w:val="BodyText"/>
        <w:ind w:left="720"/>
        <w:rPr>
          <w:b/>
          <w:lang w:val="en-GB"/>
        </w:rPr>
      </w:pPr>
      <w:r w:rsidRPr="00E72461">
        <w:rPr>
          <w:b/>
          <w:color w:val="FF0000"/>
          <w:lang w:val="en-GB"/>
        </w:rPr>
        <w:t>Note</w:t>
      </w:r>
      <w:r w:rsidRPr="006E6A1A">
        <w:rPr>
          <w:b/>
          <w:color w:val="FF0000"/>
          <w:lang w:val="en-GB"/>
        </w:rPr>
        <w:t xml:space="preserve">: </w:t>
      </w:r>
      <w:r w:rsidR="00AE125B" w:rsidRPr="00AE125B">
        <w:rPr>
          <w:b/>
          <w:lang w:val="en-GB"/>
        </w:rPr>
        <w:t>CLICKING</w:t>
      </w:r>
      <w:r w:rsidR="00AE125B" w:rsidRPr="00AE125B">
        <w:rPr>
          <w:b/>
          <w:noProof/>
          <w:lang w:eastAsia="en-AU"/>
        </w:rPr>
        <w:drawing>
          <wp:inline distT="0" distB="0" distL="0" distR="0" wp14:anchorId="4F62AFB5" wp14:editId="17FB80FB">
            <wp:extent cx="266700" cy="266700"/>
            <wp:effectExtent l="19050" t="0" r="0" b="0"/>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AE125B" w:rsidRPr="00AE125B">
        <w:rPr>
          <w:b/>
          <w:lang w:val="en-GB"/>
        </w:rPr>
        <w:t xml:space="preserve"> ‘POSTS’ YOUR FORECAST CHANGES TO YOUR WORKBOOK – HOWEVER, </w:t>
      </w:r>
      <w:r>
        <w:rPr>
          <w:b/>
          <w:lang w:val="en-GB"/>
        </w:rPr>
        <w:t>THIS DOESN’</w:t>
      </w:r>
      <w:r w:rsidR="00AE125B" w:rsidRPr="00AE125B">
        <w:rPr>
          <w:b/>
          <w:lang w:val="en-GB"/>
        </w:rPr>
        <w:t>T ACTUALLY SAVE YOUR EXCEL WORKBOOK TO THE NETWORK.</w:t>
      </w:r>
    </w:p>
    <w:p w14:paraId="325AF49F" w14:textId="77777777" w:rsidR="00AE125B" w:rsidRPr="00AE125B" w:rsidRDefault="00AE125B" w:rsidP="00AE125B">
      <w:pPr>
        <w:pStyle w:val="BodyText"/>
        <w:ind w:left="720"/>
        <w:rPr>
          <w:b/>
          <w:lang w:val="en-GB"/>
        </w:rPr>
      </w:pPr>
    </w:p>
    <w:p w14:paraId="66673E91" w14:textId="77777777" w:rsidR="00AE125B" w:rsidRPr="00AE125B" w:rsidRDefault="00AE125B" w:rsidP="00AE125B">
      <w:pPr>
        <w:pStyle w:val="BodyText"/>
        <w:ind w:left="720"/>
        <w:rPr>
          <w:b/>
          <w:lang w:val="en-US"/>
        </w:rPr>
      </w:pPr>
      <w:r w:rsidRPr="00AE125B">
        <w:rPr>
          <w:b/>
          <w:lang w:val="en-GB"/>
        </w:rPr>
        <w:t>In order to save the workbook select “File -&gt; Save” from the Excel toolbar or Simply Ctrl + S.</w:t>
      </w:r>
    </w:p>
    <w:p w14:paraId="7E3B408E" w14:textId="540BE88C" w:rsidR="00AE125B" w:rsidRPr="00AE125B" w:rsidRDefault="00AE125B" w:rsidP="00CB775D">
      <w:pPr>
        <w:pStyle w:val="BodyText"/>
        <w:numPr>
          <w:ilvl w:val="0"/>
          <w:numId w:val="15"/>
        </w:numPr>
        <w:rPr>
          <w:b/>
          <w:lang w:val="en-GB"/>
        </w:rPr>
      </w:pPr>
      <w:r w:rsidRPr="00AE125B">
        <w:rPr>
          <w:lang w:val="en-GB"/>
        </w:rPr>
        <w:lastRenderedPageBreak/>
        <w:t>Once the changes you have made are saved you ca</w:t>
      </w:r>
      <w:r w:rsidR="00050E8A">
        <w:rPr>
          <w:lang w:val="en-GB"/>
        </w:rPr>
        <w:t>n then move onto the next chart</w:t>
      </w:r>
      <w:r w:rsidRPr="00AE125B">
        <w:rPr>
          <w:lang w:val="en-GB"/>
        </w:rPr>
        <w:t>string to work on.</w:t>
      </w:r>
    </w:p>
    <w:p w14:paraId="4228901B" w14:textId="6A4D18B0" w:rsidR="00AE125B" w:rsidRPr="00AE125B" w:rsidRDefault="00AE125B" w:rsidP="00AE125B">
      <w:pPr>
        <w:pStyle w:val="BodyText"/>
        <w:ind w:left="284"/>
        <w:rPr>
          <w:b/>
          <w:lang w:val="en-GB"/>
        </w:rPr>
      </w:pPr>
    </w:p>
    <w:p w14:paraId="292D33DA" w14:textId="0D21A1DE" w:rsidR="00AE125B" w:rsidRPr="00AE125B" w:rsidRDefault="006F0220" w:rsidP="006F0220">
      <w:pPr>
        <w:pStyle w:val="BodyText"/>
        <w:ind w:left="720"/>
        <w:rPr>
          <w:b/>
          <w:u w:val="single"/>
          <w:lang w:val="en-GB"/>
        </w:rPr>
      </w:pPr>
      <w:r>
        <w:rPr>
          <w:noProof/>
          <w:lang w:eastAsia="en-AU"/>
        </w:rPr>
        <w:drawing>
          <wp:inline distT="0" distB="0" distL="0" distR="0" wp14:anchorId="2AA636F0" wp14:editId="6AD82F3A">
            <wp:extent cx="3160940" cy="1362974"/>
            <wp:effectExtent l="0" t="0" r="1905" b="889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pic:cNvPicPr>
                      <a:picLocks noChangeAspect="1"/>
                    </pic:cNvPicPr>
                  </pic:nvPicPr>
                  <pic:blipFill rotWithShape="1">
                    <a:blip r:embed="rId22"/>
                    <a:srcRect l="500" t="34990" r="55939" b="37601"/>
                    <a:stretch/>
                  </pic:blipFill>
                  <pic:spPr>
                    <a:xfrm>
                      <a:off x="0" y="0"/>
                      <a:ext cx="3182269" cy="1372171"/>
                    </a:xfrm>
                    <a:prstGeom prst="rect">
                      <a:avLst/>
                    </a:prstGeom>
                  </pic:spPr>
                </pic:pic>
              </a:graphicData>
            </a:graphic>
          </wp:inline>
        </w:drawing>
      </w:r>
      <w:r>
        <w:rPr>
          <w:lang w:val="en-GB"/>
        </w:rPr>
        <w:tab/>
      </w:r>
      <w:r>
        <w:rPr>
          <w:lang w:val="en-GB"/>
        </w:rPr>
        <w:tab/>
      </w:r>
      <w:r>
        <w:rPr>
          <w:b/>
          <w:u w:val="single"/>
          <w:lang w:val="en-GB"/>
        </w:rPr>
        <w:t xml:space="preserve">  </w:t>
      </w:r>
    </w:p>
    <w:p w14:paraId="462AF615" w14:textId="200A3D9B" w:rsidR="00AE125B" w:rsidRPr="00AE125B" w:rsidRDefault="00AE125B" w:rsidP="00AE125B">
      <w:pPr>
        <w:pStyle w:val="BodyText"/>
        <w:ind w:left="720"/>
        <w:rPr>
          <w:b/>
          <w:u w:val="single"/>
          <w:lang w:val="en-GB"/>
        </w:rPr>
      </w:pPr>
    </w:p>
    <w:p w14:paraId="6C824FE8" w14:textId="265FE244" w:rsidR="00C06280" w:rsidRDefault="006E6A1A" w:rsidP="00042599">
      <w:pPr>
        <w:pStyle w:val="BodyText"/>
        <w:ind w:left="720"/>
        <w:rPr>
          <w:noProof/>
          <w:lang w:eastAsia="en-AU"/>
        </w:rPr>
      </w:pPr>
      <w:r>
        <w:rPr>
          <w:b/>
          <w:color w:val="FF0000"/>
          <w:lang w:val="en-GB"/>
        </w:rPr>
        <w:t>Warning:</w:t>
      </w:r>
      <w:r w:rsidR="00AE125B" w:rsidRPr="00AE125B">
        <w:rPr>
          <w:lang w:val="en-GB"/>
        </w:rPr>
        <w:t xml:space="preserve"> </w:t>
      </w:r>
      <w:r w:rsidR="00AE125B" w:rsidRPr="00AE125B">
        <w:rPr>
          <w:b/>
          <w:lang w:val="en-GB"/>
        </w:rPr>
        <w:t>If you don’t post the changes using</w:t>
      </w:r>
      <w:r w:rsidR="00AE125B" w:rsidRPr="00AE125B">
        <w:rPr>
          <w:b/>
          <w:noProof/>
          <w:lang w:eastAsia="en-AU"/>
        </w:rPr>
        <w:drawing>
          <wp:inline distT="0" distB="0" distL="0" distR="0" wp14:anchorId="1DE51B19" wp14:editId="794D5509">
            <wp:extent cx="266700" cy="266700"/>
            <wp:effectExtent l="19050" t="0" r="0"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AE125B" w:rsidRPr="00AE125B">
        <w:rPr>
          <w:b/>
          <w:lang w:val="en-GB"/>
        </w:rPr>
        <w:t xml:space="preserve"> before movin</w:t>
      </w:r>
      <w:r w:rsidR="00050E8A">
        <w:rPr>
          <w:b/>
          <w:lang w:val="en-GB"/>
        </w:rPr>
        <w:t>g on and loading the next chart</w:t>
      </w:r>
      <w:r w:rsidR="00AE125B" w:rsidRPr="00AE125B">
        <w:rPr>
          <w:b/>
          <w:lang w:val="en-GB"/>
        </w:rPr>
        <w:t xml:space="preserve">string you will lose any forecast changes you have made.  </w:t>
      </w:r>
      <w:r w:rsidR="00127D06">
        <w:rPr>
          <w:b/>
          <w:lang w:val="en-GB"/>
        </w:rPr>
        <w:t xml:space="preserve">An </w:t>
      </w:r>
      <w:r w:rsidR="00127321">
        <w:rPr>
          <w:b/>
          <w:lang w:val="en-GB"/>
        </w:rPr>
        <w:t xml:space="preserve">amber traffic light </w:t>
      </w:r>
      <w:r w:rsidR="00127D06">
        <w:rPr>
          <w:b/>
          <w:lang w:val="en-GB"/>
        </w:rPr>
        <w:t>indicator</w:t>
      </w:r>
      <w:r w:rsidR="00AE125B" w:rsidRPr="00AE125B">
        <w:rPr>
          <w:b/>
          <w:lang w:val="en-GB"/>
        </w:rPr>
        <w:t xml:space="preserve"> </w:t>
      </w:r>
      <w:r w:rsidR="00127D06">
        <w:rPr>
          <w:noProof/>
          <w:lang w:eastAsia="en-AU"/>
        </w:rPr>
        <w:drawing>
          <wp:inline distT="0" distB="0" distL="0" distR="0" wp14:anchorId="4C1CF762" wp14:editId="0E4B37C8">
            <wp:extent cx="228600" cy="228601"/>
            <wp:effectExtent l="0" t="0" r="0" b="0"/>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rotWithShape="1">
                    <a:blip r:embed="rId22"/>
                    <a:srcRect l="9991" t="43009" r="87611" b="53493"/>
                    <a:stretch/>
                  </pic:blipFill>
                  <pic:spPr>
                    <a:xfrm>
                      <a:off x="0" y="0"/>
                      <a:ext cx="228600" cy="228601"/>
                    </a:xfrm>
                    <a:prstGeom prst="rect">
                      <a:avLst/>
                    </a:prstGeom>
                  </pic:spPr>
                </pic:pic>
              </a:graphicData>
            </a:graphic>
          </wp:inline>
        </w:drawing>
      </w:r>
      <w:r w:rsidR="00127D06" w:rsidRPr="00AE125B">
        <w:rPr>
          <w:b/>
          <w:lang w:val="en-GB"/>
        </w:rPr>
        <w:t xml:space="preserve"> </w:t>
      </w:r>
      <w:r w:rsidR="00AE125B" w:rsidRPr="00AE125B">
        <w:rPr>
          <w:b/>
          <w:lang w:val="en-GB"/>
        </w:rPr>
        <w:t xml:space="preserve">is shown </w:t>
      </w:r>
      <w:r w:rsidR="00127D06">
        <w:rPr>
          <w:b/>
          <w:lang w:val="en-GB"/>
        </w:rPr>
        <w:t>next to</w:t>
      </w:r>
      <w:r w:rsidR="00AE125B" w:rsidRPr="00AE125B">
        <w:rPr>
          <w:b/>
          <w:lang w:val="en-GB"/>
        </w:rPr>
        <w:t xml:space="preserve"> the CS, as well as a pop-up box that there are unsaved changes on the Edit tab.</w:t>
      </w:r>
      <w:r w:rsidR="00C06280" w:rsidRPr="00C06280">
        <w:rPr>
          <w:noProof/>
          <w:lang w:eastAsia="en-AU"/>
        </w:rPr>
        <w:t xml:space="preserve"> </w:t>
      </w:r>
    </w:p>
    <w:p w14:paraId="477817A8" w14:textId="77777777" w:rsidR="00C06280" w:rsidRDefault="00C06280" w:rsidP="00042599">
      <w:pPr>
        <w:pStyle w:val="BodyText"/>
        <w:ind w:left="720"/>
        <w:rPr>
          <w:noProof/>
          <w:lang w:eastAsia="en-AU"/>
        </w:rPr>
      </w:pPr>
    </w:p>
    <w:p w14:paraId="17645CC3" w14:textId="57B59783" w:rsidR="006F0220" w:rsidRDefault="00C06280" w:rsidP="00042599">
      <w:pPr>
        <w:pStyle w:val="BodyText"/>
        <w:ind w:left="720"/>
        <w:rPr>
          <w:b/>
          <w:bCs/>
          <w:u w:val="single"/>
          <w:lang w:val="en-GB"/>
        </w:rPr>
      </w:pPr>
      <w:r w:rsidRPr="00AE125B">
        <w:rPr>
          <w:noProof/>
          <w:lang w:eastAsia="en-AU"/>
        </w:rPr>
        <w:drawing>
          <wp:inline distT="0" distB="0" distL="0" distR="0" wp14:anchorId="62CA05C4" wp14:editId="7B4C2084">
            <wp:extent cx="3688080" cy="12979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688080" cy="1297940"/>
                    </a:xfrm>
                    <a:prstGeom prst="rect">
                      <a:avLst/>
                    </a:prstGeom>
                  </pic:spPr>
                </pic:pic>
              </a:graphicData>
            </a:graphic>
          </wp:inline>
        </w:drawing>
      </w:r>
      <w:r w:rsidR="006F0220">
        <w:rPr>
          <w:b/>
          <w:bCs/>
          <w:u w:val="single"/>
          <w:lang w:val="en-GB"/>
        </w:rPr>
        <w:br w:type="page"/>
      </w:r>
    </w:p>
    <w:p w14:paraId="0A2021C1" w14:textId="791FCC40" w:rsidR="00AE125B" w:rsidRPr="00AE125B" w:rsidRDefault="00AE125B" w:rsidP="00AE125B">
      <w:pPr>
        <w:pStyle w:val="BodyText"/>
        <w:ind w:left="284"/>
        <w:rPr>
          <w:b/>
          <w:bCs/>
          <w:u w:val="single"/>
          <w:lang w:val="en-GB"/>
        </w:rPr>
      </w:pPr>
      <w:r w:rsidRPr="00AE125B">
        <w:rPr>
          <w:b/>
          <w:bCs/>
          <w:u w:val="single"/>
          <w:lang w:val="en-GB"/>
        </w:rPr>
        <w:lastRenderedPageBreak/>
        <w:t>Variance Analysis Functions:</w:t>
      </w:r>
    </w:p>
    <w:p w14:paraId="0DBB97E0" w14:textId="77777777" w:rsidR="00AE125B" w:rsidRPr="00AE125B" w:rsidRDefault="00AE125B" w:rsidP="00AE125B">
      <w:pPr>
        <w:pStyle w:val="BodyText"/>
        <w:rPr>
          <w:lang w:val="en-GB"/>
        </w:rPr>
      </w:pPr>
    </w:p>
    <w:p w14:paraId="70BE1DAA" w14:textId="0D887CE9" w:rsidR="00AE125B" w:rsidRPr="00AE125B" w:rsidRDefault="00CE1934" w:rsidP="00AE125B">
      <w:pPr>
        <w:pStyle w:val="BodyText"/>
        <w:ind w:left="284"/>
        <w:rPr>
          <w:lang w:val="en-GB"/>
        </w:rPr>
      </w:pPr>
      <w:r>
        <w:rPr>
          <w:lang w:val="en-GB"/>
        </w:rPr>
        <w:t>Variance A</w:t>
      </w:r>
      <w:r w:rsidR="00AE125B" w:rsidRPr="00AE125B">
        <w:rPr>
          <w:lang w:val="en-GB"/>
        </w:rPr>
        <w:t xml:space="preserve">nalysis columns are provided on </w:t>
      </w:r>
      <w:r w:rsidR="002B1E6E">
        <w:rPr>
          <w:lang w:val="en-GB"/>
        </w:rPr>
        <w:t>columns AY</w:t>
      </w:r>
      <w:r w:rsidR="00B02799">
        <w:rPr>
          <w:lang w:val="en-GB"/>
        </w:rPr>
        <w:t xml:space="preserve"> onwards o</w:t>
      </w:r>
      <w:r w:rsidR="00AE125B" w:rsidRPr="00AE125B">
        <w:rPr>
          <w:lang w:val="en-GB"/>
        </w:rPr>
        <w:t>n the "</w:t>
      </w:r>
      <w:r w:rsidRPr="00295815">
        <w:rPr>
          <w:b/>
          <w:color w:val="7030A0"/>
          <w:lang w:val="en-GB"/>
        </w:rPr>
        <w:t>Edit</w:t>
      </w:r>
      <w:r w:rsidR="00AE125B" w:rsidRPr="00AE125B">
        <w:rPr>
          <w:lang w:val="en-GB"/>
        </w:rPr>
        <w:t>" tab to help with forecasting:</w:t>
      </w:r>
    </w:p>
    <w:p w14:paraId="488507A5" w14:textId="77777777" w:rsidR="00AE125B" w:rsidRPr="00AE125B" w:rsidRDefault="00AE125B" w:rsidP="00AE125B">
      <w:pPr>
        <w:pStyle w:val="BodyText"/>
        <w:ind w:left="284"/>
        <w:rPr>
          <w:lang w:val="en-GB"/>
        </w:rPr>
      </w:pPr>
      <w:r w:rsidRPr="00AE125B">
        <w:rPr>
          <w:lang w:val="en-GB"/>
        </w:rPr>
        <w:t xml:space="preserve"> </w:t>
      </w:r>
    </w:p>
    <w:p w14:paraId="328310FF" w14:textId="429CA8F2" w:rsidR="00AE125B" w:rsidRPr="00AE125B" w:rsidRDefault="002B1E6E" w:rsidP="00CB775D">
      <w:pPr>
        <w:pStyle w:val="BodyText"/>
        <w:numPr>
          <w:ilvl w:val="0"/>
          <w:numId w:val="16"/>
        </w:numPr>
        <w:rPr>
          <w:lang w:val="en-GB"/>
        </w:rPr>
      </w:pPr>
      <w:r>
        <w:rPr>
          <w:lang w:val="en-GB"/>
        </w:rPr>
        <w:t>Variance c</w:t>
      </w:r>
      <w:r w:rsidR="00AE125B" w:rsidRPr="00AE125B">
        <w:rPr>
          <w:lang w:val="en-GB"/>
        </w:rPr>
        <w:t xml:space="preserve">olumns can be viewed by clicking on </w:t>
      </w:r>
      <w:r w:rsidR="00AE125B" w:rsidRPr="00AE125B">
        <w:rPr>
          <w:noProof/>
          <w:lang w:eastAsia="en-AU"/>
        </w:rPr>
        <w:drawing>
          <wp:inline distT="0" distB="0" distL="0" distR="0" wp14:anchorId="26C43B00" wp14:editId="511824DF">
            <wp:extent cx="238125" cy="238125"/>
            <wp:effectExtent l="0" t="0" r="0" b="0"/>
            <wp:docPr id="13" name="Picture 13" descr="C:\DAVID\DAVID\1.Workbook\3. Dev\buttons\Unif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VID\DAVID\1.Workbook\3. Dev\buttons\Unifi.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AE125B" w:rsidRPr="00AE125B">
        <w:rPr>
          <w:lang w:val="en-GB"/>
        </w:rPr>
        <w:t>;</w:t>
      </w:r>
    </w:p>
    <w:p w14:paraId="692FC81F" w14:textId="77777777" w:rsidR="00AE125B" w:rsidRPr="00AE125B" w:rsidRDefault="00AE125B" w:rsidP="00CB775D">
      <w:pPr>
        <w:pStyle w:val="BodyText"/>
        <w:numPr>
          <w:ilvl w:val="0"/>
          <w:numId w:val="16"/>
        </w:numPr>
        <w:rPr>
          <w:lang w:val="en-GB"/>
        </w:rPr>
      </w:pPr>
      <w:r w:rsidRPr="00AE125B">
        <w:rPr>
          <w:lang w:val="en-GB"/>
        </w:rPr>
        <w:t xml:space="preserve">Clicking on </w:t>
      </w:r>
      <w:r w:rsidRPr="00AE125B">
        <w:rPr>
          <w:noProof/>
          <w:lang w:eastAsia="en-AU"/>
        </w:rPr>
        <w:drawing>
          <wp:inline distT="0" distB="0" distL="0" distR="0" wp14:anchorId="264B6FDB" wp14:editId="370EED2A">
            <wp:extent cx="238125" cy="238125"/>
            <wp:effectExtent l="0" t="0" r="0" b="0"/>
            <wp:docPr id="14" name="Picture 14" descr="C:\DAVID\DAVID\1.Workbook\3. Dev\buttons\VarDoll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VID\DAVID\1.Workbook\3. Dev\buttons\VarDollar.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E125B">
        <w:rPr>
          <w:lang w:val="en-GB"/>
        </w:rPr>
        <w:t xml:space="preserve"> will show Variance $ movement as well as Drop-down boxes for selecting the different Data Sets for comparisons;</w:t>
      </w:r>
    </w:p>
    <w:p w14:paraId="691D4405" w14:textId="77777777" w:rsidR="00AE125B" w:rsidRPr="00AE125B" w:rsidRDefault="00AE125B" w:rsidP="00CB775D">
      <w:pPr>
        <w:pStyle w:val="BodyText"/>
        <w:numPr>
          <w:ilvl w:val="0"/>
          <w:numId w:val="16"/>
        </w:numPr>
        <w:rPr>
          <w:lang w:val="en-GB"/>
        </w:rPr>
      </w:pPr>
      <w:r w:rsidRPr="00AE125B">
        <w:rPr>
          <w:lang w:val="en-GB"/>
        </w:rPr>
        <w:t xml:space="preserve">Clicking on </w:t>
      </w:r>
      <w:r w:rsidRPr="00AE125B">
        <w:rPr>
          <w:noProof/>
          <w:lang w:eastAsia="en-AU"/>
        </w:rPr>
        <w:drawing>
          <wp:inline distT="0" distB="0" distL="0" distR="0" wp14:anchorId="52AD3E78" wp14:editId="5B42761B">
            <wp:extent cx="238125" cy="238125"/>
            <wp:effectExtent l="0" t="0" r="0" b="0"/>
            <wp:docPr id="21" name="Picture 21" descr="C:\DAVID\DAVID\1.Workbook\3. Dev\buttons\VarPe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VID\DAVID\1.Workbook\3. Dev\buttons\VarPerc.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E125B">
        <w:rPr>
          <w:lang w:val="en-GB"/>
        </w:rPr>
        <w:t xml:space="preserve"> will show Variance % movement; </w:t>
      </w:r>
    </w:p>
    <w:p w14:paraId="22C77033" w14:textId="77777777" w:rsidR="00AE125B" w:rsidRPr="00AE125B" w:rsidRDefault="00AE125B" w:rsidP="00AE125B">
      <w:pPr>
        <w:pStyle w:val="BodyText"/>
        <w:ind w:left="284"/>
        <w:rPr>
          <w:lang w:val="en-GB"/>
        </w:rPr>
      </w:pPr>
    </w:p>
    <w:p w14:paraId="58281C15" w14:textId="346E1BD0" w:rsidR="00AE125B" w:rsidRPr="00AE125B" w:rsidRDefault="00AE125B" w:rsidP="00AE125B">
      <w:pPr>
        <w:pStyle w:val="BodyText"/>
        <w:ind w:left="720"/>
        <w:rPr>
          <w:lang w:val="en-GB"/>
        </w:rPr>
      </w:pPr>
      <w:r w:rsidRPr="00AE125B">
        <w:rPr>
          <w:lang w:val="en-GB"/>
        </w:rPr>
        <w:t xml:space="preserve">You can change the data sets to compare by simply selecting alternatives </w:t>
      </w:r>
      <w:r w:rsidR="002B1E6E">
        <w:rPr>
          <w:lang w:val="en-GB"/>
        </w:rPr>
        <w:t>from the drop down boxes</w:t>
      </w:r>
      <w:bookmarkStart w:id="0" w:name="_GoBack"/>
      <w:r w:rsidR="002B1E6E">
        <w:rPr>
          <w:lang w:val="en-GB"/>
        </w:rPr>
        <w:t xml:space="preserve"> in </w:t>
      </w:r>
      <w:bookmarkEnd w:id="0"/>
      <w:r w:rsidR="002B1E6E">
        <w:rPr>
          <w:lang w:val="en-GB"/>
        </w:rPr>
        <w:t>c</w:t>
      </w:r>
      <w:r w:rsidRPr="00AE125B">
        <w:rPr>
          <w:lang w:val="en-GB"/>
        </w:rPr>
        <w:t>ol</w:t>
      </w:r>
      <w:r w:rsidR="00605C14">
        <w:rPr>
          <w:lang w:val="en-GB"/>
        </w:rPr>
        <w:t>umn</w:t>
      </w:r>
      <w:r w:rsidRPr="00AE125B">
        <w:rPr>
          <w:lang w:val="en-GB"/>
        </w:rPr>
        <w:t xml:space="preserve"> </w:t>
      </w:r>
      <w:r w:rsidR="00C71195">
        <w:rPr>
          <w:lang w:val="en-GB"/>
        </w:rPr>
        <w:t>BE</w:t>
      </w:r>
      <w:r w:rsidRPr="00AE125B">
        <w:rPr>
          <w:lang w:val="en-GB"/>
        </w:rPr>
        <w:t xml:space="preserve"> (highlighted </w:t>
      </w:r>
      <w:r w:rsidR="00605C14">
        <w:rPr>
          <w:lang w:val="en-GB"/>
        </w:rPr>
        <w:t>blue</w:t>
      </w:r>
      <w:r w:rsidRPr="00AE125B">
        <w:rPr>
          <w:lang w:val="en-GB"/>
        </w:rPr>
        <w:t xml:space="preserve"> boxes).</w:t>
      </w:r>
    </w:p>
    <w:p w14:paraId="0AA16D5C" w14:textId="6CE62290" w:rsidR="00AE125B" w:rsidRPr="00AE125B" w:rsidRDefault="00042599" w:rsidP="00605C14">
      <w:pPr>
        <w:pStyle w:val="BodyText"/>
        <w:ind w:left="284"/>
        <w:rPr>
          <w:lang w:val="en-GB"/>
        </w:rPr>
      </w:pPr>
      <w:r>
        <w:rPr>
          <w:noProof/>
          <w:lang w:eastAsia="en-AU"/>
        </w:rPr>
        <w:drawing>
          <wp:inline distT="0" distB="0" distL="0" distR="0" wp14:anchorId="53C8CD8C" wp14:editId="5A62E3FE">
            <wp:extent cx="4169410" cy="1626270"/>
            <wp:effectExtent l="0" t="0" r="2540" b="0"/>
            <wp:docPr id="19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0"/>
                    <pic:cNvPicPr>
                      <a:picLocks noChangeAspect="1"/>
                    </pic:cNvPicPr>
                  </pic:nvPicPr>
                  <pic:blipFill rotWithShape="1">
                    <a:blip r:embed="rId27"/>
                    <a:srcRect l="19687" t="43479" r="25307" b="17350"/>
                    <a:stretch/>
                  </pic:blipFill>
                  <pic:spPr>
                    <a:xfrm>
                      <a:off x="0" y="0"/>
                      <a:ext cx="4249012" cy="1657319"/>
                    </a:xfrm>
                    <a:prstGeom prst="rect">
                      <a:avLst/>
                    </a:prstGeom>
                  </pic:spPr>
                </pic:pic>
              </a:graphicData>
            </a:graphic>
          </wp:inline>
        </w:drawing>
      </w:r>
    </w:p>
    <w:p w14:paraId="6DED21F5" w14:textId="569AA38A" w:rsidR="00AE125B" w:rsidRPr="00AE125B" w:rsidRDefault="00AE125B" w:rsidP="00C71195">
      <w:pPr>
        <w:pStyle w:val="BodyText"/>
        <w:ind w:left="720"/>
        <w:rPr>
          <w:lang w:val="en-GB"/>
        </w:rPr>
      </w:pPr>
      <w:r w:rsidRPr="00AE125B">
        <w:rPr>
          <w:lang w:val="en-GB"/>
        </w:rPr>
        <w:t xml:space="preserve">        </w:t>
      </w:r>
    </w:p>
    <w:p w14:paraId="3D3CB568" w14:textId="63E329C5" w:rsidR="00AE125B" w:rsidRDefault="00AE125B" w:rsidP="00C71195">
      <w:pPr>
        <w:pStyle w:val="BodyText"/>
        <w:ind w:left="720"/>
        <w:rPr>
          <w:lang w:val="en-GB"/>
        </w:rPr>
      </w:pPr>
    </w:p>
    <w:p w14:paraId="2E03D62B" w14:textId="3B5A8FA1" w:rsidR="00C71195" w:rsidRDefault="00C71195" w:rsidP="00C71195">
      <w:pPr>
        <w:pStyle w:val="BodyText"/>
        <w:ind w:left="1440"/>
        <w:rPr>
          <w:lang w:val="en-GB"/>
        </w:rPr>
      </w:pPr>
    </w:p>
    <w:p w14:paraId="7744BC14" w14:textId="60C03F80" w:rsidR="00C71195" w:rsidRDefault="00C71195" w:rsidP="00C71195">
      <w:pPr>
        <w:pStyle w:val="BodyText"/>
        <w:ind w:left="720"/>
        <w:rPr>
          <w:lang w:val="en-GB"/>
        </w:rPr>
      </w:pPr>
    </w:p>
    <w:p w14:paraId="6466BB3C" w14:textId="53AF4A6D" w:rsidR="00C71195" w:rsidRDefault="00C71195" w:rsidP="00C71195">
      <w:pPr>
        <w:pStyle w:val="BodyText"/>
        <w:ind w:left="720"/>
        <w:rPr>
          <w:lang w:val="en-GB"/>
        </w:rPr>
      </w:pPr>
    </w:p>
    <w:p w14:paraId="4A9A05D7" w14:textId="650D1760" w:rsidR="00C71195" w:rsidRDefault="00C71195" w:rsidP="00C71195">
      <w:pPr>
        <w:pStyle w:val="BodyText"/>
        <w:ind w:left="720"/>
        <w:rPr>
          <w:lang w:val="en-GB"/>
        </w:rPr>
      </w:pPr>
    </w:p>
    <w:p w14:paraId="53DCD0CA" w14:textId="3A6DA466" w:rsidR="00C71195" w:rsidRPr="00AE125B" w:rsidRDefault="00C71195" w:rsidP="00C71195">
      <w:pPr>
        <w:pStyle w:val="BodyText"/>
        <w:ind w:left="720"/>
        <w:rPr>
          <w:lang w:val="en-GB"/>
        </w:rPr>
      </w:pPr>
    </w:p>
    <w:p w14:paraId="13B46111" w14:textId="258E05C6" w:rsidR="00C71195" w:rsidRDefault="00C71195" w:rsidP="00C71195">
      <w:pPr>
        <w:pStyle w:val="BodyText"/>
        <w:ind w:left="796"/>
        <w:rPr>
          <w:lang w:val="en-GB"/>
        </w:rPr>
      </w:pPr>
    </w:p>
    <w:p w14:paraId="54803AE5" w14:textId="7FAE6B14" w:rsidR="00605C14" w:rsidRDefault="00605C14" w:rsidP="00C71195">
      <w:pPr>
        <w:pStyle w:val="BodyText"/>
        <w:ind w:left="796"/>
        <w:rPr>
          <w:lang w:val="en-GB"/>
        </w:rPr>
      </w:pPr>
    </w:p>
    <w:p w14:paraId="614ED28D" w14:textId="115D9521" w:rsidR="00605C14" w:rsidRDefault="00605C14" w:rsidP="00C71195">
      <w:pPr>
        <w:pStyle w:val="BodyText"/>
        <w:ind w:left="796"/>
        <w:rPr>
          <w:lang w:val="en-GB"/>
        </w:rPr>
      </w:pPr>
    </w:p>
    <w:p w14:paraId="4E2EDD77" w14:textId="587B5A5C" w:rsidR="00605C14" w:rsidRDefault="00605C14" w:rsidP="00C71195">
      <w:pPr>
        <w:pStyle w:val="BodyText"/>
        <w:ind w:left="796"/>
        <w:rPr>
          <w:lang w:val="en-GB"/>
        </w:rPr>
      </w:pPr>
    </w:p>
    <w:p w14:paraId="0F46708A" w14:textId="16FFDEED" w:rsidR="00605C14" w:rsidRDefault="00605C14" w:rsidP="00C71195">
      <w:pPr>
        <w:pStyle w:val="BodyText"/>
        <w:ind w:left="796"/>
        <w:rPr>
          <w:lang w:val="en-GB"/>
        </w:rPr>
      </w:pPr>
    </w:p>
    <w:p w14:paraId="7117F6E6" w14:textId="77777777" w:rsidR="00605C14" w:rsidRDefault="00605C14" w:rsidP="00C71195">
      <w:pPr>
        <w:pStyle w:val="BodyText"/>
        <w:ind w:left="796"/>
        <w:rPr>
          <w:lang w:val="en-GB"/>
        </w:rPr>
      </w:pPr>
    </w:p>
    <w:p w14:paraId="546B652B" w14:textId="5E1B4ACF" w:rsidR="00C71195" w:rsidRDefault="00C71195" w:rsidP="00C71195">
      <w:pPr>
        <w:pStyle w:val="BodyText"/>
        <w:ind w:left="796"/>
        <w:rPr>
          <w:lang w:val="en-GB"/>
        </w:rPr>
      </w:pPr>
    </w:p>
    <w:p w14:paraId="5D0824EE" w14:textId="040A5E54" w:rsidR="00AE125B" w:rsidRPr="00AE125B" w:rsidRDefault="00AE125B" w:rsidP="00CB775D">
      <w:pPr>
        <w:pStyle w:val="BodyText"/>
        <w:numPr>
          <w:ilvl w:val="0"/>
          <w:numId w:val="18"/>
        </w:numPr>
        <w:rPr>
          <w:lang w:val="en-GB"/>
        </w:rPr>
      </w:pPr>
      <w:r w:rsidRPr="00AE125B">
        <w:rPr>
          <w:lang w:val="en-GB"/>
        </w:rPr>
        <w:t>Selecting [</w:t>
      </w:r>
      <w:r w:rsidR="00CE1934" w:rsidRPr="00CE1934">
        <w:rPr>
          <w:b/>
          <w:lang w:val="en-GB"/>
        </w:rPr>
        <w:t xml:space="preserve">Year </w:t>
      </w:r>
      <w:proofErr w:type="gramStart"/>
      <w:r w:rsidR="00CE1934" w:rsidRPr="00CE1934">
        <w:rPr>
          <w:b/>
          <w:lang w:val="en-GB"/>
        </w:rPr>
        <w:t>On</w:t>
      </w:r>
      <w:proofErr w:type="gramEnd"/>
      <w:r w:rsidR="00CE1934" w:rsidRPr="00CE1934">
        <w:rPr>
          <w:b/>
          <w:lang w:val="en-GB"/>
        </w:rPr>
        <w:t xml:space="preserve"> Year</w:t>
      </w:r>
      <w:r w:rsidR="00CE1934">
        <w:rPr>
          <w:lang w:val="en-GB"/>
        </w:rPr>
        <w:t>] will show m</w:t>
      </w:r>
      <w:r w:rsidRPr="00AE125B">
        <w:rPr>
          <w:lang w:val="en-GB"/>
        </w:rPr>
        <w:t>ovement between each consecutive years</w:t>
      </w:r>
      <w:r w:rsidR="00CE1934">
        <w:rPr>
          <w:lang w:val="en-GB"/>
        </w:rPr>
        <w:t xml:space="preserve"> (</w:t>
      </w:r>
      <w:proofErr w:type="spellStart"/>
      <w:r w:rsidR="00CE1934">
        <w:rPr>
          <w:i/>
          <w:lang w:val="en-GB"/>
        </w:rPr>
        <w:t>ie</w:t>
      </w:r>
      <w:proofErr w:type="spellEnd"/>
      <w:r w:rsidR="00CE1934">
        <w:rPr>
          <w:i/>
          <w:lang w:val="en-GB"/>
        </w:rPr>
        <w:t>.</w:t>
      </w:r>
      <w:r w:rsidR="00CE1934" w:rsidRPr="00CE1934">
        <w:rPr>
          <w:i/>
          <w:lang w:val="en-GB"/>
        </w:rPr>
        <w:t xml:space="preserve"> Trend Report</w:t>
      </w:r>
      <w:r w:rsidR="00CE1934">
        <w:rPr>
          <w:lang w:val="en-GB"/>
        </w:rPr>
        <w:t>)</w:t>
      </w:r>
      <w:r w:rsidRPr="00AE125B">
        <w:rPr>
          <w:lang w:val="en-GB"/>
        </w:rPr>
        <w:t xml:space="preserve"> whereas choosing [</w:t>
      </w:r>
      <w:r w:rsidR="00CE1934" w:rsidRPr="00CE1934">
        <w:rPr>
          <w:b/>
          <w:lang w:val="en-GB"/>
        </w:rPr>
        <w:t>Comparison</w:t>
      </w:r>
      <w:r w:rsidRPr="00AE125B">
        <w:rPr>
          <w:lang w:val="en-GB"/>
        </w:rPr>
        <w:t>] will allow further selection of differe</w:t>
      </w:r>
      <w:r w:rsidR="00CE1934">
        <w:rPr>
          <w:lang w:val="en-GB"/>
        </w:rPr>
        <w:t>nt Data Sets ranging from UniFi</w:t>
      </w:r>
      <w:r w:rsidRPr="00AE125B">
        <w:rPr>
          <w:lang w:val="en-GB"/>
        </w:rPr>
        <w:t xml:space="preserve">, UniFi Quarterly Data Set to </w:t>
      </w:r>
      <w:proofErr w:type="spellStart"/>
      <w:r w:rsidRPr="00AE125B">
        <w:rPr>
          <w:lang w:val="en-GB"/>
        </w:rPr>
        <w:t>UniFi_OB</w:t>
      </w:r>
      <w:proofErr w:type="spellEnd"/>
      <w:r w:rsidRPr="00AE125B">
        <w:rPr>
          <w:lang w:val="en-GB"/>
        </w:rPr>
        <w:t xml:space="preserve"> (O</w:t>
      </w:r>
      <w:r w:rsidR="00E670CD">
        <w:rPr>
          <w:lang w:val="en-GB"/>
        </w:rPr>
        <w:t>riginal</w:t>
      </w:r>
      <w:r w:rsidRPr="00AE125B">
        <w:rPr>
          <w:lang w:val="en-GB"/>
        </w:rPr>
        <w:t xml:space="preserve"> Budget) Data Set</w:t>
      </w:r>
      <w:r w:rsidR="00CE1934">
        <w:rPr>
          <w:lang w:val="en-GB"/>
        </w:rPr>
        <w:t>s</w:t>
      </w:r>
      <w:r w:rsidRPr="00AE125B">
        <w:rPr>
          <w:lang w:val="en-GB"/>
        </w:rPr>
        <w:t>.</w:t>
      </w:r>
    </w:p>
    <w:p w14:paraId="417CCA9B" w14:textId="77777777" w:rsidR="00042599" w:rsidRDefault="00042599" w:rsidP="005D206F">
      <w:pPr>
        <w:pStyle w:val="BodyText"/>
        <w:ind w:left="360"/>
        <w:rPr>
          <w:lang w:val="en-GB"/>
        </w:rPr>
        <w:sectPr w:rsidR="00042599" w:rsidSect="00042599">
          <w:headerReference w:type="default" r:id="rId28"/>
          <w:footerReference w:type="default" r:id="rId29"/>
          <w:headerReference w:type="first" r:id="rId30"/>
          <w:footerReference w:type="first" r:id="rId31"/>
          <w:type w:val="continuous"/>
          <w:pgSz w:w="16838" w:h="11906" w:orient="landscape" w:code="9"/>
          <w:pgMar w:top="1702" w:right="1134" w:bottom="1134" w:left="1134" w:header="561" w:footer="510" w:gutter="0"/>
          <w:cols w:num="2" w:space="708"/>
          <w:docGrid w:linePitch="360"/>
        </w:sectPr>
      </w:pPr>
    </w:p>
    <w:p w14:paraId="1C7DA99C" w14:textId="1455FAA2" w:rsidR="00AE125B" w:rsidRPr="00AE125B" w:rsidRDefault="00AE125B" w:rsidP="005D206F">
      <w:pPr>
        <w:pStyle w:val="BodyText"/>
        <w:ind w:left="360"/>
        <w:rPr>
          <w:lang w:val="en-GB"/>
        </w:rPr>
      </w:pPr>
    </w:p>
    <w:p w14:paraId="6BCA8FEC" w14:textId="77777777" w:rsidR="00042599" w:rsidRDefault="00042599" w:rsidP="00AE125B">
      <w:pPr>
        <w:pStyle w:val="BodyText"/>
        <w:ind w:left="720"/>
        <w:rPr>
          <w:lang w:val="en-GB"/>
        </w:rPr>
        <w:sectPr w:rsidR="00042599" w:rsidSect="00042599">
          <w:type w:val="continuous"/>
          <w:pgSz w:w="16838" w:h="11906" w:orient="landscape" w:code="9"/>
          <w:pgMar w:top="1702" w:right="1134" w:bottom="1134" w:left="1134" w:header="561" w:footer="510" w:gutter="0"/>
          <w:cols w:num="2" w:space="708"/>
          <w:docGrid w:linePitch="360"/>
        </w:sectPr>
      </w:pPr>
    </w:p>
    <w:p w14:paraId="1BE095C6" w14:textId="51D8232E" w:rsidR="00AE125B" w:rsidRPr="00AE125B" w:rsidRDefault="00AE125B" w:rsidP="00AE125B">
      <w:pPr>
        <w:pStyle w:val="BodyText"/>
        <w:ind w:left="720"/>
        <w:rPr>
          <w:lang w:val="en-GB"/>
        </w:rPr>
      </w:pPr>
    </w:p>
    <w:p w14:paraId="4E96FFCE" w14:textId="58777B32" w:rsidR="00C82074" w:rsidRPr="00C82074" w:rsidRDefault="00C82074" w:rsidP="00CB20EF">
      <w:pPr>
        <w:pStyle w:val="BodyText"/>
        <w:ind w:left="284"/>
      </w:pPr>
    </w:p>
    <w:sectPr w:rsidR="00C82074" w:rsidRPr="00C82074" w:rsidSect="00042599">
      <w:type w:val="continuous"/>
      <w:pgSz w:w="16838" w:h="11906" w:orient="landscape" w:code="9"/>
      <w:pgMar w:top="1702" w:right="1134" w:bottom="1134" w:left="1134" w:header="561"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91A6D" w14:textId="77777777" w:rsidR="00E4480F" w:rsidRDefault="00E4480F" w:rsidP="00C20C17">
      <w:r>
        <w:separator/>
      </w:r>
    </w:p>
  </w:endnote>
  <w:endnote w:type="continuationSeparator" w:id="0">
    <w:p w14:paraId="46DB7ADA" w14:textId="77777777" w:rsidR="00E4480F" w:rsidRDefault="00E4480F"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13729"/>
      <w:gridCol w:w="841"/>
    </w:tblGrid>
    <w:tr w:rsidR="0000065F" w14:paraId="48601E17" w14:textId="77777777" w:rsidTr="00B042DF">
      <w:tc>
        <w:tcPr>
          <w:tcW w:w="9072" w:type="dxa"/>
          <w:vAlign w:val="bottom"/>
        </w:tcPr>
        <w:p w14:paraId="2388DE11" w14:textId="0FF5E1D2" w:rsidR="0000065F" w:rsidRPr="009F4E10" w:rsidRDefault="0000065F" w:rsidP="00657124">
          <w:pPr>
            <w:pStyle w:val="Footer"/>
          </w:pPr>
        </w:p>
      </w:tc>
      <w:tc>
        <w:tcPr>
          <w:tcW w:w="556" w:type="dxa"/>
          <w:vAlign w:val="bottom"/>
        </w:tcPr>
        <w:p w14:paraId="54BBEC2B" w14:textId="05F0E7A6" w:rsidR="0000065F" w:rsidRPr="0033054B" w:rsidRDefault="0000065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B02799">
            <w:rPr>
              <w:b/>
              <w:noProof/>
              <w:szCs w:val="15"/>
            </w:rPr>
            <w:t>4</w:t>
          </w:r>
          <w:r w:rsidRPr="0033054B">
            <w:rPr>
              <w:b/>
              <w:szCs w:val="15"/>
            </w:rPr>
            <w:fldChar w:fldCharType="end"/>
          </w:r>
        </w:p>
      </w:tc>
    </w:tr>
  </w:tbl>
  <w:p w14:paraId="2A6F247C" w14:textId="77777777" w:rsidR="0000065F" w:rsidRPr="00B042DF" w:rsidRDefault="0000065F"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00065F" w14:paraId="0433B58F" w14:textId="77777777" w:rsidTr="0016241C">
      <w:tc>
        <w:tcPr>
          <w:tcW w:w="2548" w:type="dxa"/>
        </w:tcPr>
        <w:p w14:paraId="5E0C516A" w14:textId="77777777" w:rsidR="0000065F" w:rsidRPr="0016241C" w:rsidRDefault="0000065F" w:rsidP="0016241C">
          <w:pPr>
            <w:pStyle w:val="Footer"/>
          </w:pPr>
          <w:r w:rsidRPr="0016241C">
            <w:t>The University of Queensland Brisbane QLD 4072 Australia</w:t>
          </w:r>
        </w:p>
      </w:tc>
      <w:tc>
        <w:tcPr>
          <w:tcW w:w="1778" w:type="dxa"/>
        </w:tcPr>
        <w:p w14:paraId="199C32DE" w14:textId="77777777" w:rsidR="0000065F" w:rsidRPr="0016241C" w:rsidRDefault="0000065F" w:rsidP="0016241C">
          <w:pPr>
            <w:pStyle w:val="Footer"/>
          </w:pPr>
          <w:r>
            <w:rPr>
              <w:b/>
              <w:color w:val="51247A" w:themeColor="accent1"/>
              <w:sz w:val="11"/>
              <w:szCs w:val="11"/>
            </w:rPr>
            <w:t>T</w:t>
          </w:r>
          <w:r w:rsidRPr="0016241C">
            <w:tab/>
            <w:t xml:space="preserve">+61 7 </w:t>
          </w:r>
          <w:sdt>
            <w:sdtPr>
              <w:id w:val="-890186938"/>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00065F" w:rsidRPr="0016241C" w:rsidRDefault="0000065F" w:rsidP="0016241C">
          <w:pPr>
            <w:pStyle w:val="Footer"/>
          </w:pPr>
          <w:r>
            <w:rPr>
              <w:b/>
              <w:color w:val="51247A" w:themeColor="accent1"/>
              <w:sz w:val="11"/>
              <w:szCs w:val="11"/>
            </w:rPr>
            <w:t>F</w:t>
          </w:r>
          <w:r w:rsidRPr="0016241C">
            <w:tab/>
            <w:t xml:space="preserve">+61 7 </w:t>
          </w:r>
          <w:sdt>
            <w:sdtPr>
              <w:id w:val="-2105716694"/>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00065F" w:rsidRPr="0016241C" w:rsidRDefault="0000065F" w:rsidP="0016241C">
          <w:pPr>
            <w:pStyle w:val="Footer"/>
          </w:pPr>
          <w:r w:rsidRPr="0016241C">
            <w:rPr>
              <w:b/>
              <w:color w:val="51247A" w:themeColor="accent1"/>
              <w:sz w:val="11"/>
              <w:szCs w:val="11"/>
            </w:rPr>
            <w:t>E</w:t>
          </w:r>
          <w:r w:rsidRPr="0016241C">
            <w:tab/>
          </w:r>
          <w:sdt>
            <w:sdtPr>
              <w:id w:val="-1617747958"/>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00065F" w:rsidRPr="0016241C" w:rsidRDefault="0000065F"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00065F" w:rsidRPr="0016241C" w:rsidRDefault="0000065F" w:rsidP="0016241C">
          <w:pPr>
            <w:pStyle w:val="Footer"/>
            <w:tabs>
              <w:tab w:val="left" w:pos="851"/>
            </w:tabs>
            <w:rPr>
              <w:sz w:val="11"/>
              <w:szCs w:val="11"/>
            </w:rPr>
          </w:pPr>
          <w:r w:rsidRPr="0016241C">
            <w:rPr>
              <w:sz w:val="11"/>
              <w:szCs w:val="11"/>
            </w:rPr>
            <w:t>ABN: 63 942 912 684</w:t>
          </w:r>
        </w:p>
        <w:p w14:paraId="5F84C984" w14:textId="77777777" w:rsidR="0000065F" w:rsidRPr="0016241C" w:rsidRDefault="0000065F" w:rsidP="0016241C">
          <w:pPr>
            <w:pStyle w:val="Footer"/>
            <w:rPr>
              <w:sz w:val="11"/>
              <w:szCs w:val="11"/>
            </w:rPr>
          </w:pPr>
          <w:proofErr w:type="spellStart"/>
          <w:r w:rsidRPr="0016241C">
            <w:rPr>
              <w:sz w:val="11"/>
              <w:szCs w:val="11"/>
            </w:rPr>
            <w:t>CRICOS</w:t>
          </w:r>
          <w:proofErr w:type="spellEnd"/>
          <w:r w:rsidRPr="0016241C">
            <w:rPr>
              <w:sz w:val="11"/>
              <w:szCs w:val="11"/>
            </w:rPr>
            <w:t xml:space="preserve"> PROVIDER NUMBER 00025B</w:t>
          </w:r>
        </w:p>
      </w:tc>
    </w:tr>
  </w:tbl>
  <w:p w14:paraId="4EC8D1F1" w14:textId="77777777" w:rsidR="0000065F" w:rsidRPr="0016241C" w:rsidRDefault="0000065F">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DEA8" w14:textId="77777777" w:rsidR="00E4480F" w:rsidRDefault="00E4480F" w:rsidP="00C20C17">
      <w:r>
        <w:separator/>
      </w:r>
    </w:p>
  </w:footnote>
  <w:footnote w:type="continuationSeparator" w:id="0">
    <w:p w14:paraId="108D9EC4" w14:textId="77777777" w:rsidR="00E4480F" w:rsidRDefault="00E4480F"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2B9" w14:textId="0E9B3D24" w:rsidR="0000065F" w:rsidRDefault="0000065F" w:rsidP="00FA35A3">
    <w:pPr>
      <w:pStyle w:val="Header"/>
    </w:pPr>
    <w:r>
      <w:rPr>
        <w:noProof/>
        <w:lang w:eastAsia="en-AU"/>
      </w:rPr>
      <w:drawing>
        <wp:anchor distT="0" distB="0" distL="114300" distR="114300" simplePos="0" relativeHeight="251666432" behindDoc="1" locked="0" layoutInCell="1" allowOverlap="1" wp14:anchorId="32DE8355" wp14:editId="2438AB14">
          <wp:simplePos x="0" y="0"/>
          <wp:positionH relativeFrom="column">
            <wp:posOffset>-735634</wp:posOffset>
          </wp:positionH>
          <wp:positionV relativeFrom="paragraph">
            <wp:posOffset>-361950</wp:posOffset>
          </wp:positionV>
          <wp:extent cx="10696575" cy="955675"/>
          <wp:effectExtent l="0" t="0" r="9525" b="0"/>
          <wp:wrapTight wrapText="bothSides">
            <wp:wrapPolygon edited="0">
              <wp:start x="0" y="0"/>
              <wp:lineTo x="0" y="21098"/>
              <wp:lineTo x="21581" y="21098"/>
              <wp:lineTo x="21581" y="0"/>
              <wp:lineTo x="0" y="0"/>
            </wp:wrapPolygon>
          </wp:wrapTight>
          <wp:docPr id="1692685" name="Picture 1692685" descr="S:\BEL-FacultyOffice\Marketing\Branding_Logos_Templates &amp; Fonts\3. Templates\BEL\Word Docs\Rebrand\UQ Create Change Generic purple landscape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EL-FacultyOffice\Marketing\Branding_Logos_Templates &amp; Fonts\3. Templates\BEL\Word Docs\Rebrand\UQ Create Change Generic purple landscape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00065F" w:rsidRDefault="0000065F" w:rsidP="00F4114D">
    <w:pPr>
      <w:pStyle w:val="Header"/>
      <w:jc w:val="right"/>
    </w:pPr>
  </w:p>
  <w:p w14:paraId="04D52987" w14:textId="2700A8FE" w:rsidR="0000065F" w:rsidRDefault="0000065F"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1692686" name="Picture 169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4470D2"/>
    <w:multiLevelType w:val="hybridMultilevel"/>
    <w:tmpl w:val="2F88E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452413"/>
    <w:multiLevelType w:val="hybridMultilevel"/>
    <w:tmpl w:val="C1AEBC6E"/>
    <w:lvl w:ilvl="0" w:tplc="6032C4E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212C29"/>
    <w:multiLevelType w:val="hybridMultilevel"/>
    <w:tmpl w:val="AE509E70"/>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8C90D8A"/>
    <w:multiLevelType w:val="multilevel"/>
    <w:tmpl w:val="8752BC70"/>
    <w:numStyleLink w:val="ListSectionTitle"/>
  </w:abstractNum>
  <w:abstractNum w:abstractNumId="14" w15:restartNumberingAfterBreak="0">
    <w:nsid w:val="52996C41"/>
    <w:multiLevelType w:val="hybridMultilevel"/>
    <w:tmpl w:val="6F1E4A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A0A7D"/>
    <w:multiLevelType w:val="multilevel"/>
    <w:tmpl w:val="E9B44B6A"/>
    <w:numStyleLink w:val="ListParagraph"/>
  </w:abstractNum>
  <w:abstractNum w:abstractNumId="16" w15:restartNumberingAfterBreak="0">
    <w:nsid w:val="53FE7795"/>
    <w:multiLevelType w:val="multilevel"/>
    <w:tmpl w:val="B5BC7C40"/>
    <w:numStyleLink w:val="ListAppendix"/>
  </w:abstractNum>
  <w:abstractNum w:abstractNumId="17" w15:restartNumberingAfterBreak="0">
    <w:nsid w:val="6B40529B"/>
    <w:multiLevelType w:val="hybridMultilevel"/>
    <w:tmpl w:val="BBBA76A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5"/>
  </w:num>
  <w:num w:numId="3">
    <w:abstractNumId w:val="11"/>
  </w:num>
  <w:num w:numId="4">
    <w:abstractNumId w:val="4"/>
  </w:num>
  <w:num w:numId="5">
    <w:abstractNumId w:val="15"/>
  </w:num>
  <w:num w:numId="6">
    <w:abstractNumId w:val="7"/>
  </w:num>
  <w:num w:numId="7">
    <w:abstractNumId w:val="9"/>
  </w:num>
  <w:num w:numId="8">
    <w:abstractNumId w:val="10"/>
  </w:num>
  <w:num w:numId="9">
    <w:abstractNumId w:val="3"/>
  </w:num>
  <w:num w:numId="10">
    <w:abstractNumId w:val="12"/>
  </w:num>
  <w:num w:numId="11">
    <w:abstractNumId w:val="2"/>
  </w:num>
  <w:num w:numId="12">
    <w:abstractNumId w:val="0"/>
  </w:num>
  <w:num w:numId="13">
    <w:abstractNumId w:val="13"/>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6"/>
  </w:num>
  <w:num w:numId="15">
    <w:abstractNumId w:val="6"/>
  </w:num>
  <w:num w:numId="16">
    <w:abstractNumId w:val="1"/>
  </w:num>
  <w:num w:numId="17">
    <w:abstractNumId w:val="17"/>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065F"/>
    <w:rsid w:val="00006B00"/>
    <w:rsid w:val="00024E5B"/>
    <w:rsid w:val="000300D4"/>
    <w:rsid w:val="00042599"/>
    <w:rsid w:val="00050E8A"/>
    <w:rsid w:val="000536CB"/>
    <w:rsid w:val="000774D3"/>
    <w:rsid w:val="00081985"/>
    <w:rsid w:val="00084DC5"/>
    <w:rsid w:val="000A7AFE"/>
    <w:rsid w:val="000B14BE"/>
    <w:rsid w:val="000B3E75"/>
    <w:rsid w:val="000D762F"/>
    <w:rsid w:val="000F4518"/>
    <w:rsid w:val="00110384"/>
    <w:rsid w:val="00127321"/>
    <w:rsid w:val="00127D06"/>
    <w:rsid w:val="0013414F"/>
    <w:rsid w:val="0016241C"/>
    <w:rsid w:val="001741BF"/>
    <w:rsid w:val="00193459"/>
    <w:rsid w:val="0019478C"/>
    <w:rsid w:val="00196C64"/>
    <w:rsid w:val="001B6A57"/>
    <w:rsid w:val="001E544B"/>
    <w:rsid w:val="0020725A"/>
    <w:rsid w:val="002142AC"/>
    <w:rsid w:val="00214B81"/>
    <w:rsid w:val="00217C69"/>
    <w:rsid w:val="00241DF1"/>
    <w:rsid w:val="00281407"/>
    <w:rsid w:val="00287293"/>
    <w:rsid w:val="00292EDB"/>
    <w:rsid w:val="00295815"/>
    <w:rsid w:val="002974F3"/>
    <w:rsid w:val="002B1E6E"/>
    <w:rsid w:val="002D73F6"/>
    <w:rsid w:val="002F07CF"/>
    <w:rsid w:val="002F612F"/>
    <w:rsid w:val="00310B79"/>
    <w:rsid w:val="00324C15"/>
    <w:rsid w:val="0033054B"/>
    <w:rsid w:val="003314A2"/>
    <w:rsid w:val="00363EA7"/>
    <w:rsid w:val="003B5BC8"/>
    <w:rsid w:val="003E48F8"/>
    <w:rsid w:val="003E5B97"/>
    <w:rsid w:val="00403FC2"/>
    <w:rsid w:val="00416244"/>
    <w:rsid w:val="00416FF4"/>
    <w:rsid w:val="00445521"/>
    <w:rsid w:val="00463D08"/>
    <w:rsid w:val="004713C5"/>
    <w:rsid w:val="004972A0"/>
    <w:rsid w:val="00497A08"/>
    <w:rsid w:val="004B441F"/>
    <w:rsid w:val="004E4F05"/>
    <w:rsid w:val="00503135"/>
    <w:rsid w:val="00544D95"/>
    <w:rsid w:val="00552285"/>
    <w:rsid w:val="00576B84"/>
    <w:rsid w:val="00591DC4"/>
    <w:rsid w:val="005A305D"/>
    <w:rsid w:val="005A3F7C"/>
    <w:rsid w:val="005A6CC7"/>
    <w:rsid w:val="005B54F0"/>
    <w:rsid w:val="005D0167"/>
    <w:rsid w:val="005D206F"/>
    <w:rsid w:val="005D4250"/>
    <w:rsid w:val="005E22FD"/>
    <w:rsid w:val="005E7363"/>
    <w:rsid w:val="005F0E3B"/>
    <w:rsid w:val="00605C14"/>
    <w:rsid w:val="00613060"/>
    <w:rsid w:val="00614669"/>
    <w:rsid w:val="006377A2"/>
    <w:rsid w:val="00642034"/>
    <w:rsid w:val="00657124"/>
    <w:rsid w:val="00662576"/>
    <w:rsid w:val="00670B05"/>
    <w:rsid w:val="00684298"/>
    <w:rsid w:val="006873AE"/>
    <w:rsid w:val="006A0D0C"/>
    <w:rsid w:val="006A24C4"/>
    <w:rsid w:val="006C0E44"/>
    <w:rsid w:val="006E6A1A"/>
    <w:rsid w:val="006E71A4"/>
    <w:rsid w:val="006F0220"/>
    <w:rsid w:val="0071246C"/>
    <w:rsid w:val="00716942"/>
    <w:rsid w:val="007268EF"/>
    <w:rsid w:val="00781D68"/>
    <w:rsid w:val="007B215D"/>
    <w:rsid w:val="007C38B8"/>
    <w:rsid w:val="007D347B"/>
    <w:rsid w:val="007E345B"/>
    <w:rsid w:val="007E3DDB"/>
    <w:rsid w:val="007F5557"/>
    <w:rsid w:val="00804338"/>
    <w:rsid w:val="00834296"/>
    <w:rsid w:val="00862690"/>
    <w:rsid w:val="00882359"/>
    <w:rsid w:val="00894DFA"/>
    <w:rsid w:val="008B0D27"/>
    <w:rsid w:val="008B0D7D"/>
    <w:rsid w:val="008C40F3"/>
    <w:rsid w:val="008E2EA4"/>
    <w:rsid w:val="008E6D0A"/>
    <w:rsid w:val="00944DDB"/>
    <w:rsid w:val="0094701D"/>
    <w:rsid w:val="00953458"/>
    <w:rsid w:val="009774DC"/>
    <w:rsid w:val="009827C2"/>
    <w:rsid w:val="009858ED"/>
    <w:rsid w:val="009A489C"/>
    <w:rsid w:val="009D6143"/>
    <w:rsid w:val="009D7190"/>
    <w:rsid w:val="009D7F71"/>
    <w:rsid w:val="009E3486"/>
    <w:rsid w:val="009E3FDE"/>
    <w:rsid w:val="009E6379"/>
    <w:rsid w:val="009F3881"/>
    <w:rsid w:val="009F4E10"/>
    <w:rsid w:val="00A00890"/>
    <w:rsid w:val="00A12421"/>
    <w:rsid w:val="00A32BF4"/>
    <w:rsid w:val="00A34437"/>
    <w:rsid w:val="00A369C4"/>
    <w:rsid w:val="00A77D53"/>
    <w:rsid w:val="00A905AA"/>
    <w:rsid w:val="00AE125B"/>
    <w:rsid w:val="00AE34ED"/>
    <w:rsid w:val="00B025B0"/>
    <w:rsid w:val="00B02799"/>
    <w:rsid w:val="00B042DF"/>
    <w:rsid w:val="00B06047"/>
    <w:rsid w:val="00B13955"/>
    <w:rsid w:val="00B345E8"/>
    <w:rsid w:val="00B375A0"/>
    <w:rsid w:val="00B50FE6"/>
    <w:rsid w:val="00B64797"/>
    <w:rsid w:val="00B72212"/>
    <w:rsid w:val="00B742E4"/>
    <w:rsid w:val="00B97292"/>
    <w:rsid w:val="00BC0E71"/>
    <w:rsid w:val="00BE56A2"/>
    <w:rsid w:val="00C0234B"/>
    <w:rsid w:val="00C06280"/>
    <w:rsid w:val="00C13926"/>
    <w:rsid w:val="00C20C17"/>
    <w:rsid w:val="00C33B32"/>
    <w:rsid w:val="00C474B7"/>
    <w:rsid w:val="00C522C0"/>
    <w:rsid w:val="00C71195"/>
    <w:rsid w:val="00C80A4B"/>
    <w:rsid w:val="00C81D8D"/>
    <w:rsid w:val="00C82074"/>
    <w:rsid w:val="00C911AF"/>
    <w:rsid w:val="00C960ED"/>
    <w:rsid w:val="00CB20EF"/>
    <w:rsid w:val="00CB4670"/>
    <w:rsid w:val="00CB775D"/>
    <w:rsid w:val="00CD170A"/>
    <w:rsid w:val="00CE1934"/>
    <w:rsid w:val="00D13C7F"/>
    <w:rsid w:val="00D17214"/>
    <w:rsid w:val="00D31A80"/>
    <w:rsid w:val="00D32971"/>
    <w:rsid w:val="00D45E05"/>
    <w:rsid w:val="00D46212"/>
    <w:rsid w:val="00D55062"/>
    <w:rsid w:val="00D60436"/>
    <w:rsid w:val="00D671DA"/>
    <w:rsid w:val="00D8242B"/>
    <w:rsid w:val="00D904CF"/>
    <w:rsid w:val="00D92AFC"/>
    <w:rsid w:val="00DA1068"/>
    <w:rsid w:val="00DA30E7"/>
    <w:rsid w:val="00DA5594"/>
    <w:rsid w:val="00DD0AFE"/>
    <w:rsid w:val="00DD3FBD"/>
    <w:rsid w:val="00DE0B9B"/>
    <w:rsid w:val="00DF203A"/>
    <w:rsid w:val="00DF2FB7"/>
    <w:rsid w:val="00E0455F"/>
    <w:rsid w:val="00E207F4"/>
    <w:rsid w:val="00E443D7"/>
    <w:rsid w:val="00E4480F"/>
    <w:rsid w:val="00E53A35"/>
    <w:rsid w:val="00E64929"/>
    <w:rsid w:val="00E670CD"/>
    <w:rsid w:val="00E72461"/>
    <w:rsid w:val="00E7261C"/>
    <w:rsid w:val="00E87A8D"/>
    <w:rsid w:val="00EB7493"/>
    <w:rsid w:val="00EC2F9A"/>
    <w:rsid w:val="00EE473C"/>
    <w:rsid w:val="00F05DE7"/>
    <w:rsid w:val="00F16CC5"/>
    <w:rsid w:val="00F30D94"/>
    <w:rsid w:val="00F4114D"/>
    <w:rsid w:val="00F416F9"/>
    <w:rsid w:val="00F77427"/>
    <w:rsid w:val="00FA35A3"/>
    <w:rsid w:val="00FA62E0"/>
    <w:rsid w:val="00FC0BC3"/>
    <w:rsid w:val="00FC228E"/>
    <w:rsid w:val="00FC7395"/>
    <w:rsid w:val="00FD1621"/>
    <w:rsid w:val="00FD69B4"/>
    <w:rsid w:val="00FE7360"/>
    <w:rsid w:val="00FE790C"/>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9F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074"/>
    <w:rPr>
      <w:rFonts w:ascii="Times New Roman" w:hAnsi="Times New Roman" w:cs="Times New Roman"/>
      <w:sz w:val="24"/>
      <w:szCs w:val="24"/>
    </w:rPr>
  </w:style>
  <w:style w:type="paragraph" w:styleId="NoSpacing">
    <w:name w:val="No Spacing"/>
    <w:uiPriority w:val="1"/>
    <w:qFormat/>
    <w:rsid w:val="00C8207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270B6"/>
    <w:rsid w:val="00036D18"/>
    <w:rsid w:val="00094622"/>
    <w:rsid w:val="00156AD0"/>
    <w:rsid w:val="00214366"/>
    <w:rsid w:val="00347637"/>
    <w:rsid w:val="003A492E"/>
    <w:rsid w:val="005D1D36"/>
    <w:rsid w:val="007D3465"/>
    <w:rsid w:val="008A243F"/>
    <w:rsid w:val="00987486"/>
    <w:rsid w:val="00BB787A"/>
    <w:rsid w:val="00E07D7F"/>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393D-1D66-451D-8EF2-D77DFD64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92</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David Le</cp:lastModifiedBy>
  <cp:revision>26</cp:revision>
  <dcterms:created xsi:type="dcterms:W3CDTF">2019-11-12T03:30:00Z</dcterms:created>
  <dcterms:modified xsi:type="dcterms:W3CDTF">2020-01-14T02:53:00Z</dcterms:modified>
</cp:coreProperties>
</file>