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7A764" w14:textId="7EBD0C21" w:rsidR="009E3FDE" w:rsidRDefault="00781D68" w:rsidP="009F4E10">
      <w:pPr>
        <w:pStyle w:val="Heading1"/>
        <w:rPr>
          <w:b/>
        </w:rPr>
      </w:pPr>
      <w:r>
        <w:rPr>
          <w:b/>
        </w:rPr>
        <w:t>Register Tab - Overview</w:t>
      </w:r>
    </w:p>
    <w:p w14:paraId="5277D2C4" w14:textId="4DE25135" w:rsidR="00781D68" w:rsidRPr="00503135" w:rsidRDefault="00781D68" w:rsidP="00781D68">
      <w:pPr>
        <w:pStyle w:val="ListParagraph0"/>
        <w:ind w:left="0"/>
        <w:rPr>
          <w:rFonts w:cstheme="minorHAnsi"/>
          <w:szCs w:val="20"/>
        </w:rPr>
      </w:pPr>
      <w:r w:rsidRPr="00781D68">
        <w:rPr>
          <w:rFonts w:cstheme="minorHAnsi"/>
          <w:szCs w:val="20"/>
        </w:rPr>
        <w:t xml:space="preserve">The "Register" tab is used to maintain and manage the list of all of the unique </w:t>
      </w:r>
      <w:r w:rsidR="004D6FDE">
        <w:rPr>
          <w:rFonts w:cstheme="minorHAnsi"/>
          <w:szCs w:val="20"/>
        </w:rPr>
        <w:t>c</w:t>
      </w:r>
      <w:r w:rsidR="004D6FDE" w:rsidRPr="00781D68">
        <w:rPr>
          <w:rFonts w:cstheme="minorHAnsi"/>
          <w:szCs w:val="20"/>
        </w:rPr>
        <w:t>hartstring</w:t>
      </w:r>
      <w:r w:rsidRPr="00781D68">
        <w:rPr>
          <w:rFonts w:cstheme="minorHAnsi"/>
          <w:szCs w:val="20"/>
        </w:rPr>
        <w:t xml:space="preserve"> combinations used or budgeted for your Opal Unit. I</w:t>
      </w:r>
      <w:r w:rsidR="00045CDD">
        <w:rPr>
          <w:rFonts w:cstheme="minorHAnsi"/>
          <w:szCs w:val="20"/>
        </w:rPr>
        <w:t>f a combination does not exist o</w:t>
      </w:r>
      <w:r w:rsidRPr="00781D68">
        <w:rPr>
          <w:rFonts w:cstheme="minorHAnsi"/>
          <w:szCs w:val="20"/>
        </w:rPr>
        <w:t xml:space="preserve">n the "Register" then you cannot call it up to enter </w:t>
      </w:r>
      <w:r w:rsidR="00045CDD">
        <w:rPr>
          <w:rFonts w:cstheme="minorHAnsi"/>
          <w:szCs w:val="20"/>
        </w:rPr>
        <w:t>a forecast / budget against it o</w:t>
      </w:r>
      <w:r w:rsidRPr="00781D68">
        <w:rPr>
          <w:rFonts w:cstheme="minorHAnsi"/>
          <w:szCs w:val="20"/>
        </w:rPr>
        <w:t>n the "Edit" tab.</w:t>
      </w:r>
      <w:r w:rsidR="00503135">
        <w:rPr>
          <w:rFonts w:cstheme="minorHAnsi"/>
          <w:szCs w:val="20"/>
        </w:rPr>
        <w:t xml:space="preserve"> </w:t>
      </w:r>
      <w:r w:rsidR="00FE790C">
        <w:rPr>
          <w:rFonts w:cstheme="minorHAnsi"/>
          <w:szCs w:val="20"/>
        </w:rPr>
        <w:t>This list is updated each time a Forecast Download – UniFi routine is executed (</w:t>
      </w:r>
      <w:r w:rsidR="00FE790C" w:rsidRPr="00FE790C">
        <w:rPr>
          <w:rFonts w:cstheme="minorHAnsi"/>
          <w:i/>
          <w:szCs w:val="20"/>
        </w:rPr>
        <w:t>please refer to End-of-month workbook update Q</w:t>
      </w:r>
      <w:r w:rsidR="004146BF">
        <w:rPr>
          <w:rFonts w:cstheme="minorHAnsi"/>
          <w:i/>
          <w:szCs w:val="20"/>
        </w:rPr>
        <w:t xml:space="preserve">uick </w:t>
      </w:r>
      <w:r w:rsidR="00FE790C" w:rsidRPr="00FE790C">
        <w:rPr>
          <w:rFonts w:cstheme="minorHAnsi"/>
          <w:i/>
          <w:szCs w:val="20"/>
        </w:rPr>
        <w:t>R</w:t>
      </w:r>
      <w:r w:rsidR="004146BF">
        <w:rPr>
          <w:rFonts w:cstheme="minorHAnsi"/>
          <w:i/>
          <w:szCs w:val="20"/>
        </w:rPr>
        <w:t xml:space="preserve">eference </w:t>
      </w:r>
      <w:r w:rsidR="00FE790C" w:rsidRPr="00FE790C">
        <w:rPr>
          <w:rFonts w:cstheme="minorHAnsi"/>
          <w:i/>
          <w:szCs w:val="20"/>
        </w:rPr>
        <w:t>G</w:t>
      </w:r>
      <w:r w:rsidR="004146BF">
        <w:rPr>
          <w:rFonts w:cstheme="minorHAnsi"/>
          <w:i/>
          <w:szCs w:val="20"/>
        </w:rPr>
        <w:t>uide</w:t>
      </w:r>
      <w:r w:rsidR="00FE790C">
        <w:rPr>
          <w:rFonts w:cstheme="minorHAnsi"/>
          <w:szCs w:val="20"/>
        </w:rPr>
        <w:t>).  N</w:t>
      </w:r>
      <w:r w:rsidR="00503135">
        <w:rPr>
          <w:rFonts w:cstheme="minorHAnsi"/>
          <w:szCs w:val="20"/>
        </w:rPr>
        <w:t xml:space="preserve">ewly created </w:t>
      </w:r>
      <w:r w:rsidR="004D6FDE">
        <w:rPr>
          <w:rFonts w:cstheme="minorHAnsi"/>
          <w:szCs w:val="20"/>
        </w:rPr>
        <w:t>chartstring</w:t>
      </w:r>
      <w:r w:rsidR="00503135">
        <w:rPr>
          <w:rFonts w:cstheme="minorHAnsi"/>
          <w:szCs w:val="20"/>
        </w:rPr>
        <w:t xml:space="preserve"> (</w:t>
      </w:r>
      <w:r w:rsidR="00503135" w:rsidRPr="00FE790C">
        <w:rPr>
          <w:rFonts w:cstheme="minorHAnsi"/>
          <w:i/>
          <w:szCs w:val="20"/>
        </w:rPr>
        <w:t>without activity or balances</w:t>
      </w:r>
      <w:r w:rsidR="00503135">
        <w:rPr>
          <w:rFonts w:cstheme="minorHAnsi"/>
          <w:szCs w:val="20"/>
        </w:rPr>
        <w:t xml:space="preserve">) will need to be added manually </w:t>
      </w:r>
      <w:r w:rsidR="00324C15">
        <w:rPr>
          <w:rFonts w:cstheme="minorHAnsi"/>
          <w:szCs w:val="20"/>
        </w:rPr>
        <w:t>to the workbook for usage.</w:t>
      </w:r>
      <w:r w:rsidR="00503135">
        <w:rPr>
          <w:rFonts w:cstheme="minorHAnsi"/>
          <w:szCs w:val="20"/>
        </w:rPr>
        <w:t xml:space="preserve"> </w:t>
      </w:r>
      <w:r w:rsidR="00503135" w:rsidRPr="00503135">
        <w:rPr>
          <w:rFonts w:cstheme="minorHAnsi"/>
          <w:szCs w:val="20"/>
        </w:rPr>
        <w:t>Please contact fpa</w:t>
      </w:r>
      <w:r w:rsidR="00503135">
        <w:rPr>
          <w:rFonts w:cstheme="minorHAnsi"/>
          <w:szCs w:val="20"/>
        </w:rPr>
        <w:t>@fbs.uq.edu.au</w:t>
      </w:r>
      <w:r w:rsidR="00503135" w:rsidRPr="00503135">
        <w:rPr>
          <w:rFonts w:cstheme="minorHAnsi"/>
          <w:szCs w:val="20"/>
        </w:rPr>
        <w:t xml:space="preserve"> for assistance</w:t>
      </w:r>
      <w:r w:rsidR="00503135">
        <w:rPr>
          <w:rFonts w:cstheme="minorHAnsi"/>
          <w:szCs w:val="20"/>
        </w:rPr>
        <w:t>.</w:t>
      </w:r>
    </w:p>
    <w:p w14:paraId="59DD9DA4" w14:textId="77777777" w:rsidR="00781D68" w:rsidRPr="00781D68" w:rsidRDefault="00781D68" w:rsidP="00781D68">
      <w:pPr>
        <w:pStyle w:val="ListParagraph0"/>
        <w:ind w:left="0"/>
        <w:rPr>
          <w:rFonts w:cstheme="minorHAnsi"/>
          <w:szCs w:val="20"/>
        </w:rPr>
      </w:pPr>
    </w:p>
    <w:p w14:paraId="25F580C2" w14:textId="33BAC6A1" w:rsidR="00781D68" w:rsidRPr="00781D68" w:rsidRDefault="00781D68" w:rsidP="00781D68">
      <w:pPr>
        <w:pStyle w:val="ListParagraph0"/>
        <w:ind w:left="0"/>
        <w:rPr>
          <w:rFonts w:cstheme="minorHAnsi"/>
          <w:szCs w:val="20"/>
        </w:rPr>
      </w:pPr>
      <w:r w:rsidRPr="00781D68">
        <w:rPr>
          <w:rFonts w:cstheme="minorHAnsi"/>
          <w:szCs w:val="20"/>
        </w:rPr>
        <w:t>The "Register" can also be used as a basic reporting tool to show you Level 3 account balance information for each generic chartstring combination. This can be a quick way of identifying and verifying budget and forecast movements across your chartstrings.</w:t>
      </w:r>
    </w:p>
    <w:p w14:paraId="565966B2" w14:textId="77777777" w:rsidR="00781D68" w:rsidRPr="00781D68" w:rsidRDefault="00781D68" w:rsidP="00781D68">
      <w:pPr>
        <w:pStyle w:val="ListParagraph0"/>
        <w:ind w:left="0"/>
        <w:rPr>
          <w:rFonts w:cstheme="minorHAnsi"/>
          <w:szCs w:val="20"/>
        </w:rPr>
      </w:pPr>
    </w:p>
    <w:p w14:paraId="3EC59ACC" w14:textId="49E9AB4C" w:rsidR="00781D68" w:rsidRPr="00781D68" w:rsidRDefault="00781D68" w:rsidP="00781D68">
      <w:pPr>
        <w:rPr>
          <w:rFonts w:cstheme="minorHAnsi"/>
          <w:szCs w:val="20"/>
        </w:rPr>
      </w:pPr>
      <w:r w:rsidRPr="00781D68">
        <w:rPr>
          <w:rFonts w:cstheme="minorHAnsi"/>
          <w:szCs w:val="20"/>
        </w:rPr>
        <w:t>The following bas</w:t>
      </w:r>
      <w:r w:rsidR="004D6FDE">
        <w:rPr>
          <w:rFonts w:cstheme="minorHAnsi"/>
          <w:szCs w:val="20"/>
        </w:rPr>
        <w:t>ic information about each chart</w:t>
      </w:r>
      <w:r w:rsidRPr="00781D68">
        <w:rPr>
          <w:rFonts w:cstheme="minorHAnsi"/>
          <w:szCs w:val="20"/>
        </w:rPr>
        <w:t>string combination is shown</w:t>
      </w:r>
      <w:bookmarkStart w:id="0" w:name="_GoBack"/>
      <w:r w:rsidRPr="00781D68">
        <w:rPr>
          <w:rFonts w:cstheme="minorHAnsi"/>
          <w:szCs w:val="20"/>
        </w:rPr>
        <w:t xml:space="preserve"> in </w:t>
      </w:r>
      <w:bookmarkEnd w:id="0"/>
      <w:r w:rsidRPr="00781D68">
        <w:rPr>
          <w:rFonts w:cstheme="minorHAnsi"/>
          <w:szCs w:val="20"/>
        </w:rPr>
        <w:t>the indicated columns:</w:t>
      </w:r>
    </w:p>
    <w:tbl>
      <w:tblPr>
        <w:tblW w:w="144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8"/>
        <w:gridCol w:w="11907"/>
        <w:gridCol w:w="1134"/>
      </w:tblGrid>
      <w:tr w:rsidR="00E53A35" w:rsidRPr="00781D68" w14:paraId="7AF8D053" w14:textId="77777777" w:rsidTr="00363EA7">
        <w:trPr>
          <w:trHeight w:val="332"/>
        </w:trPr>
        <w:tc>
          <w:tcPr>
            <w:tcW w:w="1408" w:type="dxa"/>
            <w:shd w:val="clear" w:color="auto" w:fill="962A8B"/>
          </w:tcPr>
          <w:p w14:paraId="134E51EA" w14:textId="77777777" w:rsidR="00781D68" w:rsidRPr="00363EA7" w:rsidRDefault="00781D68" w:rsidP="00781D68">
            <w:pPr>
              <w:pStyle w:val="BodyText"/>
              <w:jc w:val="center"/>
              <w:rPr>
                <w:b/>
                <w:color w:val="FFFFFF" w:themeColor="background1"/>
                <w:lang w:val="en-GB"/>
              </w:rPr>
            </w:pPr>
            <w:r w:rsidRPr="00363EA7">
              <w:rPr>
                <w:b/>
                <w:color w:val="FFFFFF" w:themeColor="background1"/>
                <w:lang w:val="en-GB"/>
              </w:rPr>
              <w:t>Col</w:t>
            </w:r>
          </w:p>
        </w:tc>
        <w:tc>
          <w:tcPr>
            <w:tcW w:w="11907" w:type="dxa"/>
            <w:shd w:val="clear" w:color="auto" w:fill="962A8B"/>
          </w:tcPr>
          <w:p w14:paraId="3EA930BC" w14:textId="77777777" w:rsidR="00781D68" w:rsidRPr="00363EA7" w:rsidRDefault="00781D68" w:rsidP="00F05DE7">
            <w:pPr>
              <w:pStyle w:val="BodyText"/>
              <w:ind w:left="143"/>
              <w:rPr>
                <w:b/>
                <w:color w:val="FFFFFF" w:themeColor="background1"/>
                <w:lang w:val="en-GB"/>
              </w:rPr>
            </w:pPr>
            <w:r w:rsidRPr="00363EA7">
              <w:rPr>
                <w:b/>
                <w:color w:val="FFFFFF" w:themeColor="background1"/>
                <w:lang w:val="en-GB"/>
              </w:rPr>
              <w:t>Description</w:t>
            </w:r>
          </w:p>
        </w:tc>
        <w:tc>
          <w:tcPr>
            <w:tcW w:w="1134" w:type="dxa"/>
            <w:tcBorders>
              <w:bottom w:val="single" w:sz="4" w:space="0" w:color="auto"/>
            </w:tcBorders>
            <w:shd w:val="clear" w:color="auto" w:fill="962A8B"/>
          </w:tcPr>
          <w:p w14:paraId="7BBF7502" w14:textId="597B5E89" w:rsidR="00781D68" w:rsidRPr="00363EA7" w:rsidRDefault="00781D68" w:rsidP="00781D68">
            <w:pPr>
              <w:pStyle w:val="BodyText"/>
              <w:jc w:val="center"/>
              <w:rPr>
                <w:b/>
                <w:color w:val="FFFFFF" w:themeColor="background1"/>
                <w:lang w:val="en-GB"/>
              </w:rPr>
            </w:pPr>
            <w:r w:rsidRPr="00363EA7">
              <w:rPr>
                <w:b/>
                <w:color w:val="FFFFFF" w:themeColor="background1"/>
                <w:lang w:val="en-GB"/>
              </w:rPr>
              <w:t>Edit?</w:t>
            </w:r>
          </w:p>
        </w:tc>
      </w:tr>
      <w:tr w:rsidR="00781D68" w:rsidRPr="00781D68" w14:paraId="6966E6EB" w14:textId="77777777" w:rsidTr="00E53A35">
        <w:trPr>
          <w:trHeight w:val="958"/>
        </w:trPr>
        <w:tc>
          <w:tcPr>
            <w:tcW w:w="1408" w:type="dxa"/>
          </w:tcPr>
          <w:p w14:paraId="26990F31" w14:textId="0F397FCA" w:rsidR="00781D68" w:rsidRPr="00781D68" w:rsidRDefault="00781D68" w:rsidP="00781D68">
            <w:pPr>
              <w:pStyle w:val="BodyText"/>
              <w:jc w:val="center"/>
              <w:rPr>
                <w:b/>
                <w:lang w:val="en-GB"/>
              </w:rPr>
            </w:pPr>
            <w:r w:rsidRPr="00781D68">
              <w:rPr>
                <w:b/>
                <w:lang w:val="en-GB"/>
              </w:rPr>
              <w:t>A</w:t>
            </w:r>
          </w:p>
        </w:tc>
        <w:tc>
          <w:tcPr>
            <w:tcW w:w="11907" w:type="dxa"/>
          </w:tcPr>
          <w:p w14:paraId="45938E41" w14:textId="6CF1A42B" w:rsidR="00F416F9" w:rsidRDefault="004D6FDE" w:rsidP="00F05DE7">
            <w:pPr>
              <w:pStyle w:val="BodyText"/>
              <w:ind w:left="143"/>
              <w:rPr>
                <w:lang w:val="en-GB"/>
              </w:rPr>
            </w:pPr>
            <w:r>
              <w:rPr>
                <w:b/>
                <w:lang w:val="en-GB"/>
              </w:rPr>
              <w:t>L1 Charts</w:t>
            </w:r>
            <w:r w:rsidR="00781D68" w:rsidRPr="00781D68">
              <w:rPr>
                <w:b/>
                <w:lang w:val="en-GB"/>
              </w:rPr>
              <w:t>tring</w:t>
            </w:r>
            <w:r w:rsidR="00781D68" w:rsidRPr="00781D68">
              <w:rPr>
                <w:lang w:val="en-GB"/>
              </w:rPr>
              <w:t>: Format “</w:t>
            </w:r>
            <w:proofErr w:type="spellStart"/>
            <w:r w:rsidR="00F416F9" w:rsidRPr="003E48F8">
              <w:rPr>
                <w:b/>
                <w:color w:val="FF0000"/>
                <w:lang w:val="en-GB"/>
              </w:rPr>
              <w:t>UUUUUUU</w:t>
            </w:r>
            <w:proofErr w:type="spellEnd"/>
            <w:r w:rsidR="00781D68" w:rsidRPr="003E48F8">
              <w:rPr>
                <w:b/>
                <w:lang w:val="en-GB"/>
              </w:rPr>
              <w:t>-</w:t>
            </w:r>
            <w:r w:rsidR="00781D68" w:rsidRPr="003E48F8">
              <w:rPr>
                <w:b/>
                <w:color w:val="0070C0"/>
                <w:lang w:val="en-GB"/>
              </w:rPr>
              <w:t>SS</w:t>
            </w:r>
            <w:r w:rsidR="00781D68" w:rsidRPr="003E48F8">
              <w:rPr>
                <w:b/>
                <w:lang w:val="en-GB"/>
              </w:rPr>
              <w:t>-</w:t>
            </w:r>
            <w:proofErr w:type="spellStart"/>
            <w:r w:rsidR="00781D68" w:rsidRPr="003E48F8">
              <w:rPr>
                <w:b/>
                <w:color w:val="00B050"/>
                <w:lang w:val="en-GB"/>
              </w:rPr>
              <w:t>DDD</w:t>
            </w:r>
            <w:proofErr w:type="spellEnd"/>
            <w:r w:rsidR="00781D68" w:rsidRPr="003E48F8">
              <w:rPr>
                <w:b/>
                <w:lang w:val="en-GB"/>
              </w:rPr>
              <w:t>-</w:t>
            </w:r>
            <w:proofErr w:type="spellStart"/>
            <w:r w:rsidR="00781D68" w:rsidRPr="003E48F8">
              <w:rPr>
                <w:b/>
                <w:lang w:val="en-GB"/>
              </w:rPr>
              <w:t>NN-</w:t>
            </w:r>
            <w:r w:rsidR="00781D68" w:rsidRPr="003E48F8">
              <w:rPr>
                <w:b/>
                <w:color w:val="975BCE" w:themeColor="accent1" w:themeTint="99"/>
                <w:lang w:val="en-GB"/>
              </w:rPr>
              <w:t>PPPPPP</w:t>
            </w:r>
            <w:proofErr w:type="spellEnd"/>
            <w:r w:rsidR="00781D68" w:rsidRPr="00781D68">
              <w:rPr>
                <w:lang w:val="en-GB"/>
              </w:rPr>
              <w:t xml:space="preserve">” </w:t>
            </w:r>
          </w:p>
          <w:p w14:paraId="58E8817F" w14:textId="2A68CF17" w:rsidR="00781D68" w:rsidRPr="00781D68" w:rsidRDefault="00781D68" w:rsidP="00FF3CDE">
            <w:pPr>
              <w:pStyle w:val="BodyText"/>
              <w:spacing w:line="360" w:lineRule="auto"/>
              <w:ind w:left="143"/>
              <w:rPr>
                <w:lang w:val="en-GB"/>
              </w:rPr>
            </w:pPr>
            <w:proofErr w:type="gramStart"/>
            <w:r w:rsidRPr="00781D68">
              <w:rPr>
                <w:lang w:val="en-GB"/>
              </w:rPr>
              <w:t>where</w:t>
            </w:r>
            <w:proofErr w:type="gramEnd"/>
            <w:r w:rsidRPr="00781D68">
              <w:rPr>
                <w:lang w:val="en-GB"/>
              </w:rPr>
              <w:t xml:space="preserve"> </w:t>
            </w:r>
            <w:proofErr w:type="spellStart"/>
            <w:r w:rsidRPr="003E48F8">
              <w:rPr>
                <w:b/>
                <w:color w:val="FF0000"/>
                <w:lang w:val="en-GB"/>
              </w:rPr>
              <w:t>UUUUUUU</w:t>
            </w:r>
            <w:proofErr w:type="spellEnd"/>
            <w:r w:rsidRPr="003E48F8">
              <w:rPr>
                <w:color w:val="FF0000"/>
                <w:lang w:val="en-GB"/>
              </w:rPr>
              <w:t xml:space="preserve"> </w:t>
            </w:r>
            <w:r w:rsidRPr="00781D68">
              <w:rPr>
                <w:lang w:val="en-GB"/>
              </w:rPr>
              <w:t>is the Operating Unit (</w:t>
            </w:r>
            <w:r w:rsidRPr="0020725A">
              <w:rPr>
                <w:i/>
                <w:lang w:val="en-GB"/>
              </w:rPr>
              <w:t>7 digits</w:t>
            </w:r>
            <w:r w:rsidRPr="00781D68">
              <w:rPr>
                <w:lang w:val="en-GB"/>
              </w:rPr>
              <w:t xml:space="preserve">), </w:t>
            </w:r>
            <w:r w:rsidRPr="003E48F8">
              <w:rPr>
                <w:b/>
                <w:color w:val="0070C0"/>
                <w:lang w:val="en-GB"/>
              </w:rPr>
              <w:t>SS</w:t>
            </w:r>
            <w:r w:rsidRPr="003E48F8">
              <w:rPr>
                <w:color w:val="0070C0"/>
                <w:lang w:val="en-GB"/>
              </w:rPr>
              <w:t xml:space="preserve"> </w:t>
            </w:r>
            <w:r w:rsidRPr="00781D68">
              <w:rPr>
                <w:lang w:val="en-GB"/>
              </w:rPr>
              <w:t>is the site code (</w:t>
            </w:r>
            <w:r w:rsidRPr="0020725A">
              <w:rPr>
                <w:i/>
                <w:lang w:val="en-GB"/>
              </w:rPr>
              <w:t>2 digits</w:t>
            </w:r>
            <w:r w:rsidRPr="00781D68">
              <w:rPr>
                <w:lang w:val="en-GB"/>
              </w:rPr>
              <w:t xml:space="preserve">), </w:t>
            </w:r>
            <w:proofErr w:type="spellStart"/>
            <w:r w:rsidRPr="003E48F8">
              <w:rPr>
                <w:b/>
                <w:color w:val="00B050"/>
                <w:lang w:val="en-GB"/>
              </w:rPr>
              <w:t>DDD</w:t>
            </w:r>
            <w:proofErr w:type="spellEnd"/>
            <w:r w:rsidRPr="003E48F8">
              <w:rPr>
                <w:color w:val="00B050"/>
                <w:lang w:val="en-GB"/>
              </w:rPr>
              <w:t xml:space="preserve"> </w:t>
            </w:r>
            <w:r w:rsidRPr="00781D68">
              <w:rPr>
                <w:lang w:val="en-GB"/>
              </w:rPr>
              <w:t>is the fund code (</w:t>
            </w:r>
            <w:r w:rsidRPr="0020725A">
              <w:rPr>
                <w:i/>
                <w:lang w:val="en-GB"/>
              </w:rPr>
              <w:t>3 digits</w:t>
            </w:r>
            <w:r w:rsidRPr="00781D68">
              <w:rPr>
                <w:lang w:val="en-GB"/>
              </w:rPr>
              <w:t xml:space="preserve">), </w:t>
            </w:r>
            <w:proofErr w:type="spellStart"/>
            <w:r w:rsidRPr="003E48F8">
              <w:rPr>
                <w:b/>
                <w:lang w:val="en-GB"/>
              </w:rPr>
              <w:t>NN</w:t>
            </w:r>
            <w:proofErr w:type="spellEnd"/>
            <w:r w:rsidRPr="00781D68">
              <w:rPr>
                <w:lang w:val="en-GB"/>
              </w:rPr>
              <w:t xml:space="preserve"> is the function code (</w:t>
            </w:r>
            <w:r w:rsidRPr="0020725A">
              <w:rPr>
                <w:i/>
                <w:lang w:val="en-GB"/>
              </w:rPr>
              <w:t>2 digits</w:t>
            </w:r>
            <w:r w:rsidRPr="00781D68">
              <w:rPr>
                <w:lang w:val="en-GB"/>
              </w:rPr>
              <w:t xml:space="preserve">), </w:t>
            </w:r>
            <w:proofErr w:type="spellStart"/>
            <w:r w:rsidRPr="003E48F8">
              <w:rPr>
                <w:b/>
                <w:color w:val="975BCE" w:themeColor="accent1" w:themeTint="99"/>
                <w:lang w:val="en-GB"/>
              </w:rPr>
              <w:t>PPPPPP</w:t>
            </w:r>
            <w:proofErr w:type="spellEnd"/>
            <w:r w:rsidRPr="003E48F8">
              <w:rPr>
                <w:color w:val="975BCE" w:themeColor="accent1" w:themeTint="99"/>
                <w:lang w:val="en-GB"/>
              </w:rPr>
              <w:t xml:space="preserve"> </w:t>
            </w:r>
            <w:r w:rsidRPr="00781D68">
              <w:rPr>
                <w:lang w:val="en-GB"/>
              </w:rPr>
              <w:t>is the project number (</w:t>
            </w:r>
            <w:r w:rsidRPr="0020725A">
              <w:rPr>
                <w:i/>
                <w:lang w:val="en-GB"/>
              </w:rPr>
              <w:t>6 digits</w:t>
            </w:r>
            <w:r w:rsidRPr="00781D68">
              <w:rPr>
                <w:lang w:val="en-GB"/>
              </w:rPr>
              <w:t>). Where a combination has no project six zeroes</w:t>
            </w:r>
            <w:r w:rsidR="0020725A">
              <w:rPr>
                <w:lang w:val="en-GB"/>
              </w:rPr>
              <w:t xml:space="preserve"> (</w:t>
            </w:r>
            <w:r w:rsidR="0020725A" w:rsidRPr="00FF3CDE">
              <w:rPr>
                <w:b/>
                <w:i/>
                <w:lang w:val="en-GB"/>
              </w:rPr>
              <w:t>000000</w:t>
            </w:r>
            <w:r w:rsidR="0020725A">
              <w:rPr>
                <w:lang w:val="en-GB"/>
              </w:rPr>
              <w:t>)</w:t>
            </w:r>
            <w:r w:rsidRPr="00781D68">
              <w:rPr>
                <w:lang w:val="en-GB"/>
              </w:rPr>
              <w:t xml:space="preserve"> will be used.</w:t>
            </w:r>
          </w:p>
        </w:tc>
        <w:tc>
          <w:tcPr>
            <w:tcW w:w="1134" w:type="dxa"/>
            <w:shd w:val="clear" w:color="auto" w:fill="FBB800"/>
          </w:tcPr>
          <w:p w14:paraId="6ABCD5E7"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NO</w:t>
            </w:r>
          </w:p>
        </w:tc>
      </w:tr>
      <w:tr w:rsidR="00781D68" w:rsidRPr="00781D68" w14:paraId="021F5DE0" w14:textId="77777777" w:rsidTr="00E53A35">
        <w:trPr>
          <w:trHeight w:val="332"/>
        </w:trPr>
        <w:tc>
          <w:tcPr>
            <w:tcW w:w="1408" w:type="dxa"/>
          </w:tcPr>
          <w:p w14:paraId="72562487" w14:textId="0D5CF545" w:rsidR="00781D68" w:rsidRPr="00781D68" w:rsidRDefault="00781D68" w:rsidP="00781D68">
            <w:pPr>
              <w:pStyle w:val="BodyText"/>
              <w:jc w:val="center"/>
              <w:rPr>
                <w:b/>
                <w:lang w:val="en-GB"/>
              </w:rPr>
            </w:pPr>
            <w:r w:rsidRPr="00781D68">
              <w:rPr>
                <w:b/>
                <w:lang w:val="en-GB"/>
              </w:rPr>
              <w:t>B</w:t>
            </w:r>
          </w:p>
        </w:tc>
        <w:tc>
          <w:tcPr>
            <w:tcW w:w="11907" w:type="dxa"/>
          </w:tcPr>
          <w:p w14:paraId="6DC43DB6" w14:textId="77777777" w:rsidR="00781D68" w:rsidRPr="00781D68" w:rsidRDefault="00781D68" w:rsidP="00F05DE7">
            <w:pPr>
              <w:pStyle w:val="BodyText"/>
              <w:ind w:left="143"/>
              <w:rPr>
                <w:lang w:val="en-GB"/>
              </w:rPr>
            </w:pPr>
            <w:r w:rsidRPr="00781D68">
              <w:rPr>
                <w:b/>
                <w:lang w:val="en-GB"/>
              </w:rPr>
              <w:t>Generic String Description</w:t>
            </w:r>
            <w:r w:rsidRPr="00781D68">
              <w:rPr>
                <w:lang w:val="en-GB"/>
              </w:rPr>
              <w:t xml:space="preserve">: A default is provided </w:t>
            </w:r>
            <w:r w:rsidRPr="00781D68">
              <w:rPr>
                <w:b/>
                <w:lang w:val="en-GB"/>
              </w:rPr>
              <w:t>but you can edit this to make it more meaningful.</w:t>
            </w:r>
          </w:p>
        </w:tc>
        <w:tc>
          <w:tcPr>
            <w:tcW w:w="1134" w:type="dxa"/>
            <w:shd w:val="clear" w:color="auto" w:fill="FBB800"/>
          </w:tcPr>
          <w:p w14:paraId="1C8053E6"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YES</w:t>
            </w:r>
          </w:p>
        </w:tc>
      </w:tr>
      <w:tr w:rsidR="00781D68" w:rsidRPr="00781D68" w14:paraId="7DCE40D5" w14:textId="77777777" w:rsidTr="00E53A35">
        <w:trPr>
          <w:trHeight w:val="537"/>
        </w:trPr>
        <w:tc>
          <w:tcPr>
            <w:tcW w:w="1408" w:type="dxa"/>
          </w:tcPr>
          <w:p w14:paraId="0B6937E3" w14:textId="6E9EA3A5" w:rsidR="00781D68" w:rsidRPr="00781D68" w:rsidRDefault="00781D68" w:rsidP="00781D68">
            <w:pPr>
              <w:pStyle w:val="BodyText"/>
              <w:jc w:val="center"/>
              <w:rPr>
                <w:b/>
                <w:lang w:val="en-GB"/>
              </w:rPr>
            </w:pPr>
            <w:r w:rsidRPr="00781D68">
              <w:rPr>
                <w:b/>
                <w:lang w:val="en-GB"/>
              </w:rPr>
              <w:t>C</w:t>
            </w:r>
          </w:p>
        </w:tc>
        <w:tc>
          <w:tcPr>
            <w:tcW w:w="11907" w:type="dxa"/>
          </w:tcPr>
          <w:p w14:paraId="5E91ACC9" w14:textId="77777777" w:rsidR="00781D68" w:rsidRPr="00781D68" w:rsidRDefault="00781D68" w:rsidP="00F05DE7">
            <w:pPr>
              <w:pStyle w:val="BodyText"/>
              <w:ind w:left="143"/>
              <w:rPr>
                <w:lang w:val="en-GB"/>
              </w:rPr>
            </w:pPr>
            <w:r w:rsidRPr="00781D68">
              <w:rPr>
                <w:b/>
                <w:lang w:val="en-GB"/>
              </w:rPr>
              <w:t>Download</w:t>
            </w:r>
            <w:r w:rsidRPr="00781D68">
              <w:rPr>
                <w:lang w:val="en-GB"/>
              </w:rPr>
              <w:t>: Depict Data origin; if it is downloaded from the Reportal then status would be ‘Include’ otherwise if it is imported from another workbook then ‘Import’.</w:t>
            </w:r>
          </w:p>
        </w:tc>
        <w:tc>
          <w:tcPr>
            <w:tcW w:w="1134" w:type="dxa"/>
            <w:shd w:val="clear" w:color="auto" w:fill="FBB800"/>
          </w:tcPr>
          <w:p w14:paraId="159E87D9"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YES</w:t>
            </w:r>
          </w:p>
        </w:tc>
      </w:tr>
      <w:tr w:rsidR="00781D68" w:rsidRPr="00781D68" w14:paraId="39D74332" w14:textId="77777777" w:rsidTr="00E53A35">
        <w:trPr>
          <w:trHeight w:val="537"/>
        </w:trPr>
        <w:tc>
          <w:tcPr>
            <w:tcW w:w="1408" w:type="dxa"/>
          </w:tcPr>
          <w:p w14:paraId="70561295" w14:textId="4C851203" w:rsidR="00781D68" w:rsidRPr="00781D68" w:rsidRDefault="00781D68" w:rsidP="00781D68">
            <w:pPr>
              <w:pStyle w:val="BodyText"/>
              <w:jc w:val="center"/>
              <w:rPr>
                <w:b/>
                <w:lang w:val="en-GB"/>
              </w:rPr>
            </w:pPr>
            <w:r w:rsidRPr="00781D68">
              <w:rPr>
                <w:b/>
                <w:lang w:val="en-GB"/>
              </w:rPr>
              <w:t>D</w:t>
            </w:r>
          </w:p>
        </w:tc>
        <w:tc>
          <w:tcPr>
            <w:tcW w:w="11907" w:type="dxa"/>
          </w:tcPr>
          <w:p w14:paraId="3113CD66" w14:textId="77777777" w:rsidR="00781D68" w:rsidRPr="00781D68" w:rsidRDefault="00781D68" w:rsidP="00F05DE7">
            <w:pPr>
              <w:pStyle w:val="BodyText"/>
              <w:ind w:left="143"/>
              <w:rPr>
                <w:lang w:val="en-GB"/>
              </w:rPr>
            </w:pPr>
            <w:r w:rsidRPr="00781D68">
              <w:rPr>
                <w:b/>
                <w:lang w:val="en-GB"/>
              </w:rPr>
              <w:t>User Status</w:t>
            </w:r>
            <w:r w:rsidRPr="00781D68">
              <w:rPr>
                <w:lang w:val="en-GB"/>
              </w:rPr>
              <w:t>: By default all are '</w:t>
            </w:r>
            <w:r w:rsidRPr="00084DC5">
              <w:rPr>
                <w:b/>
                <w:lang w:val="en-GB"/>
              </w:rPr>
              <w:t>A</w:t>
            </w:r>
            <w:r w:rsidRPr="00781D68">
              <w:rPr>
                <w:lang w:val="en-GB"/>
              </w:rPr>
              <w:t>' for active. You can change this to '</w:t>
            </w:r>
            <w:r w:rsidRPr="00084DC5">
              <w:rPr>
                <w:b/>
                <w:color w:val="FF0000"/>
                <w:lang w:val="en-GB"/>
              </w:rPr>
              <w:t>X</w:t>
            </w:r>
            <w:r w:rsidRPr="00781D68">
              <w:rPr>
                <w:lang w:val="en-GB"/>
              </w:rPr>
              <w:t>' (</w:t>
            </w:r>
            <w:r w:rsidRPr="00497A08">
              <w:rPr>
                <w:i/>
                <w:lang w:val="en-GB"/>
              </w:rPr>
              <w:t>using the drop down</w:t>
            </w:r>
            <w:r w:rsidRPr="00781D68">
              <w:rPr>
                <w:lang w:val="en-GB"/>
              </w:rPr>
              <w:t>) if you want to note that it should be inactive.</w:t>
            </w:r>
          </w:p>
        </w:tc>
        <w:tc>
          <w:tcPr>
            <w:tcW w:w="1134" w:type="dxa"/>
            <w:shd w:val="clear" w:color="auto" w:fill="FBB800"/>
          </w:tcPr>
          <w:p w14:paraId="5FBB91DA"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YES</w:t>
            </w:r>
          </w:p>
        </w:tc>
      </w:tr>
      <w:tr w:rsidR="00781D68" w:rsidRPr="00781D68" w14:paraId="00EBBCEA" w14:textId="77777777" w:rsidTr="00E53A35">
        <w:trPr>
          <w:trHeight w:val="562"/>
        </w:trPr>
        <w:tc>
          <w:tcPr>
            <w:tcW w:w="1408" w:type="dxa"/>
          </w:tcPr>
          <w:p w14:paraId="466F33E7" w14:textId="04990BFF" w:rsidR="00781D68" w:rsidRPr="00781D68" w:rsidRDefault="00781D68" w:rsidP="00781D68">
            <w:pPr>
              <w:pStyle w:val="BodyText"/>
              <w:jc w:val="center"/>
              <w:rPr>
                <w:b/>
                <w:lang w:val="en-GB"/>
              </w:rPr>
            </w:pPr>
            <w:r w:rsidRPr="00781D68">
              <w:rPr>
                <w:b/>
                <w:lang w:val="en-GB"/>
              </w:rPr>
              <w:t>E</w:t>
            </w:r>
          </w:p>
        </w:tc>
        <w:tc>
          <w:tcPr>
            <w:tcW w:w="11907" w:type="dxa"/>
          </w:tcPr>
          <w:p w14:paraId="3326FC36" w14:textId="662D7235" w:rsidR="00781D68" w:rsidRPr="00781D68" w:rsidRDefault="00781D68" w:rsidP="00F05DE7">
            <w:pPr>
              <w:pStyle w:val="BodyText"/>
              <w:ind w:left="143"/>
              <w:rPr>
                <w:lang w:val="en-GB"/>
              </w:rPr>
            </w:pPr>
            <w:r w:rsidRPr="00781D68">
              <w:rPr>
                <w:b/>
                <w:lang w:val="en-GB"/>
              </w:rPr>
              <w:t>Date Added</w:t>
            </w:r>
            <w:r w:rsidR="004D6FDE">
              <w:rPr>
                <w:lang w:val="en-GB"/>
              </w:rPr>
              <w:t>: The date that the chart</w:t>
            </w:r>
            <w:r w:rsidRPr="00781D68">
              <w:rPr>
                <w:lang w:val="en-GB"/>
              </w:rPr>
              <w:t>string combination was added to the workbook.  Recent additions will be shaded.</w:t>
            </w:r>
          </w:p>
        </w:tc>
        <w:tc>
          <w:tcPr>
            <w:tcW w:w="1134" w:type="dxa"/>
            <w:shd w:val="clear" w:color="auto" w:fill="FBB800"/>
          </w:tcPr>
          <w:p w14:paraId="79A66E8B"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NO</w:t>
            </w:r>
          </w:p>
        </w:tc>
      </w:tr>
      <w:tr w:rsidR="00781D68" w:rsidRPr="00781D68" w14:paraId="6CA88477" w14:textId="77777777" w:rsidTr="00E53A35">
        <w:trPr>
          <w:trHeight w:val="562"/>
        </w:trPr>
        <w:tc>
          <w:tcPr>
            <w:tcW w:w="1408" w:type="dxa"/>
          </w:tcPr>
          <w:p w14:paraId="1B909E69" w14:textId="45CBEAC9" w:rsidR="00781D68" w:rsidRPr="00781D68" w:rsidRDefault="00781D68" w:rsidP="00781D68">
            <w:pPr>
              <w:pStyle w:val="BodyText"/>
              <w:jc w:val="center"/>
              <w:rPr>
                <w:b/>
                <w:lang w:val="en-GB"/>
              </w:rPr>
            </w:pPr>
            <w:r w:rsidRPr="00781D68">
              <w:rPr>
                <w:b/>
                <w:lang w:val="en-GB"/>
              </w:rPr>
              <w:lastRenderedPageBreak/>
              <w:t>F</w:t>
            </w:r>
          </w:p>
        </w:tc>
        <w:tc>
          <w:tcPr>
            <w:tcW w:w="11907" w:type="dxa"/>
          </w:tcPr>
          <w:p w14:paraId="1619D938" w14:textId="758526D4" w:rsidR="00781D68" w:rsidRPr="00781D68" w:rsidRDefault="00781D68" w:rsidP="00F05DE7">
            <w:pPr>
              <w:pStyle w:val="BodyText"/>
              <w:ind w:left="143"/>
              <w:rPr>
                <w:lang w:val="en-GB"/>
              </w:rPr>
            </w:pPr>
            <w:r w:rsidRPr="00781D68">
              <w:rPr>
                <w:b/>
                <w:lang w:val="en-GB"/>
              </w:rPr>
              <w:t>User Index</w:t>
            </w:r>
            <w:r w:rsidRPr="00781D68">
              <w:rPr>
                <w:lang w:val="en-GB"/>
              </w:rPr>
              <w:t>: Users can input into this column – this is usefu</w:t>
            </w:r>
            <w:r w:rsidR="004D6FDE">
              <w:rPr>
                <w:lang w:val="en-GB"/>
              </w:rPr>
              <w:t>l if you want to sort the chart</w:t>
            </w:r>
            <w:r w:rsidRPr="00781D68">
              <w:rPr>
                <w:lang w:val="en-GB"/>
              </w:rPr>
              <w:t>strings into groups you can sort on this column.</w:t>
            </w:r>
          </w:p>
        </w:tc>
        <w:tc>
          <w:tcPr>
            <w:tcW w:w="1134" w:type="dxa"/>
            <w:shd w:val="clear" w:color="auto" w:fill="FBB800"/>
          </w:tcPr>
          <w:p w14:paraId="78AF0039"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YES</w:t>
            </w:r>
          </w:p>
        </w:tc>
      </w:tr>
      <w:tr w:rsidR="00781D68" w:rsidRPr="00781D68" w14:paraId="06585855" w14:textId="77777777" w:rsidTr="00E53A35">
        <w:trPr>
          <w:trHeight w:val="843"/>
        </w:trPr>
        <w:tc>
          <w:tcPr>
            <w:tcW w:w="1408" w:type="dxa"/>
          </w:tcPr>
          <w:p w14:paraId="39E9F02A" w14:textId="1B580B93" w:rsidR="00781D68" w:rsidRPr="00781D68" w:rsidRDefault="00781D68" w:rsidP="00781D68">
            <w:pPr>
              <w:pStyle w:val="BodyText"/>
              <w:jc w:val="center"/>
              <w:rPr>
                <w:b/>
                <w:lang w:val="en-GB"/>
              </w:rPr>
            </w:pPr>
            <w:r w:rsidRPr="00781D68">
              <w:rPr>
                <w:b/>
                <w:lang w:val="en-GB"/>
              </w:rPr>
              <w:t>G</w:t>
            </w:r>
          </w:p>
        </w:tc>
        <w:tc>
          <w:tcPr>
            <w:tcW w:w="11907" w:type="dxa"/>
          </w:tcPr>
          <w:p w14:paraId="5EAF5279" w14:textId="77786062" w:rsidR="00781D68" w:rsidRPr="00781D68" w:rsidRDefault="00781D68" w:rsidP="004D6FDE">
            <w:pPr>
              <w:pStyle w:val="BodyText"/>
              <w:ind w:left="143"/>
              <w:rPr>
                <w:lang w:val="en-GB"/>
              </w:rPr>
            </w:pPr>
            <w:r w:rsidRPr="00781D68">
              <w:rPr>
                <w:b/>
                <w:lang w:val="en-GB"/>
              </w:rPr>
              <w:t>Check Status</w:t>
            </w:r>
            <w:r w:rsidRPr="00781D68">
              <w:rPr>
                <w:lang w:val="en-GB"/>
              </w:rPr>
              <w:t>: This is formula driven and will return “</w:t>
            </w:r>
            <w:r w:rsidRPr="00416244">
              <w:rPr>
                <w:b/>
                <w:lang w:val="en-GB"/>
              </w:rPr>
              <w:t>A</w:t>
            </w:r>
            <w:r w:rsidR="004D6FDE">
              <w:rPr>
                <w:lang w:val="en-GB"/>
              </w:rPr>
              <w:t>” for active if the chart</w:t>
            </w:r>
            <w:r w:rsidRPr="00781D68">
              <w:rPr>
                <w:lang w:val="en-GB"/>
              </w:rPr>
              <w:t>string has any forecast or Budget balances in the ledger or “</w:t>
            </w:r>
            <w:r w:rsidRPr="00416244">
              <w:rPr>
                <w:b/>
                <w:color w:val="FF0000"/>
                <w:lang w:val="en-GB"/>
              </w:rPr>
              <w:t>X</w:t>
            </w:r>
            <w:r w:rsidRPr="00781D68">
              <w:rPr>
                <w:lang w:val="en-GB"/>
              </w:rPr>
              <w:t>” for inactive if there are no balances for that particular chartstring.</w:t>
            </w:r>
          </w:p>
        </w:tc>
        <w:tc>
          <w:tcPr>
            <w:tcW w:w="1134" w:type="dxa"/>
            <w:shd w:val="clear" w:color="auto" w:fill="FBB800"/>
          </w:tcPr>
          <w:p w14:paraId="06FBD649" w14:textId="77777777" w:rsidR="00781D68" w:rsidRPr="00C80A4B" w:rsidRDefault="00781D68" w:rsidP="00781D68">
            <w:pPr>
              <w:pStyle w:val="BodyText"/>
              <w:jc w:val="center"/>
              <w:rPr>
                <w:color w:val="FFFFFF" w:themeColor="background1"/>
                <w:lang w:val="en-GB"/>
              </w:rPr>
            </w:pPr>
            <w:r w:rsidRPr="00C80A4B">
              <w:rPr>
                <w:b/>
                <w:color w:val="FFFFFF" w:themeColor="background1"/>
                <w:lang w:val="en-GB"/>
              </w:rPr>
              <w:t>NO</w:t>
            </w:r>
          </w:p>
        </w:tc>
      </w:tr>
      <w:tr w:rsidR="00781D68" w:rsidRPr="00781D68" w14:paraId="03F03B27" w14:textId="77777777" w:rsidTr="00E53A35">
        <w:trPr>
          <w:trHeight w:val="104"/>
        </w:trPr>
        <w:tc>
          <w:tcPr>
            <w:tcW w:w="1408" w:type="dxa"/>
          </w:tcPr>
          <w:p w14:paraId="18586532" w14:textId="26DC64DA" w:rsidR="00781D68" w:rsidRPr="00781D68" w:rsidRDefault="00781D68" w:rsidP="00781D68">
            <w:pPr>
              <w:pStyle w:val="BodyText"/>
              <w:jc w:val="center"/>
              <w:rPr>
                <w:b/>
                <w:lang w:val="en-GB"/>
              </w:rPr>
            </w:pPr>
            <w:r w:rsidRPr="00781D68">
              <w:rPr>
                <w:b/>
                <w:lang w:val="en-GB"/>
              </w:rPr>
              <w:t>H</w:t>
            </w:r>
          </w:p>
        </w:tc>
        <w:tc>
          <w:tcPr>
            <w:tcW w:w="11907" w:type="dxa"/>
          </w:tcPr>
          <w:p w14:paraId="122EF36D" w14:textId="52647DED" w:rsidR="00781D68" w:rsidRPr="00781D68" w:rsidRDefault="00781D68" w:rsidP="004D6FDE">
            <w:pPr>
              <w:pStyle w:val="BodyText"/>
              <w:ind w:left="143"/>
              <w:rPr>
                <w:lang w:val="en-GB"/>
              </w:rPr>
            </w:pPr>
            <w:r w:rsidRPr="00781D68">
              <w:rPr>
                <w:b/>
                <w:lang w:val="en-GB"/>
              </w:rPr>
              <w:t xml:space="preserve">Action: </w:t>
            </w:r>
            <w:r w:rsidRPr="00781D68">
              <w:rPr>
                <w:lang w:val="en-GB"/>
              </w:rPr>
              <w:t>Will show up “</w:t>
            </w:r>
            <w:r w:rsidRPr="00416244">
              <w:rPr>
                <w:b/>
                <w:color w:val="FF0000"/>
                <w:lang w:val="en-GB"/>
              </w:rPr>
              <w:t>X</w:t>
            </w:r>
            <w:r w:rsidRPr="00781D68">
              <w:rPr>
                <w:lang w:val="en-GB"/>
              </w:rPr>
              <w:t>” when a user can dele</w:t>
            </w:r>
            <w:r w:rsidR="00642034">
              <w:rPr>
                <w:lang w:val="en-GB"/>
              </w:rPr>
              <w:t xml:space="preserve">te the chartstring from the </w:t>
            </w:r>
            <w:r w:rsidRPr="00781D68">
              <w:rPr>
                <w:lang w:val="en-GB"/>
              </w:rPr>
              <w:t>Register or “</w:t>
            </w:r>
            <w:r w:rsidRPr="009D7190">
              <w:rPr>
                <w:b/>
                <w:sz w:val="32"/>
                <w:lang w:val="en-GB"/>
              </w:rPr>
              <w:t>√</w:t>
            </w:r>
            <w:r w:rsidR="004D6FDE">
              <w:rPr>
                <w:lang w:val="en-GB"/>
              </w:rPr>
              <w:t>” when the charts</w:t>
            </w:r>
            <w:r w:rsidRPr="00781D68">
              <w:rPr>
                <w:lang w:val="en-GB"/>
              </w:rPr>
              <w:t>tring is Active, or “</w:t>
            </w:r>
            <w:r w:rsidRPr="00642034">
              <w:rPr>
                <w:b/>
                <w:lang w:val="en-GB"/>
              </w:rPr>
              <w:t>?</w:t>
            </w:r>
            <w:r w:rsidR="004D6FDE">
              <w:rPr>
                <w:lang w:val="en-GB"/>
              </w:rPr>
              <w:t>” when the c</w:t>
            </w:r>
            <w:r w:rsidRPr="00781D68">
              <w:rPr>
                <w:lang w:val="en-GB"/>
              </w:rPr>
              <w:t>hart</w:t>
            </w:r>
            <w:r w:rsidR="004D6FDE">
              <w:rPr>
                <w:lang w:val="en-GB"/>
              </w:rPr>
              <w:t>s</w:t>
            </w:r>
            <w:r w:rsidRPr="00781D68">
              <w:rPr>
                <w:lang w:val="en-GB"/>
              </w:rPr>
              <w:t xml:space="preserve">tring is Inactive in either User Status or Check Status but not both. </w:t>
            </w:r>
          </w:p>
        </w:tc>
        <w:tc>
          <w:tcPr>
            <w:tcW w:w="1134" w:type="dxa"/>
            <w:shd w:val="clear" w:color="auto" w:fill="FBB800"/>
          </w:tcPr>
          <w:p w14:paraId="2E3D6248"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NO</w:t>
            </w:r>
          </w:p>
        </w:tc>
      </w:tr>
      <w:tr w:rsidR="00781D68" w:rsidRPr="00781D68" w14:paraId="1370AFA3" w14:textId="77777777" w:rsidTr="00E53A35">
        <w:trPr>
          <w:trHeight w:val="562"/>
        </w:trPr>
        <w:tc>
          <w:tcPr>
            <w:tcW w:w="1408" w:type="dxa"/>
          </w:tcPr>
          <w:p w14:paraId="2907C53F" w14:textId="7D313352" w:rsidR="00781D68" w:rsidRPr="00781D68" w:rsidRDefault="003E5B97" w:rsidP="00781D68">
            <w:pPr>
              <w:pStyle w:val="BodyText"/>
              <w:jc w:val="center"/>
              <w:rPr>
                <w:b/>
                <w:lang w:val="en-GB"/>
              </w:rPr>
            </w:pPr>
            <w:r>
              <w:rPr>
                <w:b/>
                <w:lang w:val="en-GB"/>
              </w:rPr>
              <w:t>J</w:t>
            </w:r>
            <w:r w:rsidR="00C81D8D">
              <w:rPr>
                <w:b/>
                <w:lang w:val="en-GB"/>
              </w:rPr>
              <w:t xml:space="preserve"> </w:t>
            </w:r>
            <w:r>
              <w:rPr>
                <w:b/>
                <w:lang w:val="en-GB"/>
              </w:rPr>
              <w:t>-</w:t>
            </w:r>
            <w:r w:rsidR="00C81D8D">
              <w:rPr>
                <w:b/>
                <w:lang w:val="en-GB"/>
              </w:rPr>
              <w:t xml:space="preserve"> </w:t>
            </w:r>
            <w:r>
              <w:rPr>
                <w:b/>
                <w:lang w:val="en-GB"/>
              </w:rPr>
              <w:t>S</w:t>
            </w:r>
          </w:p>
        </w:tc>
        <w:tc>
          <w:tcPr>
            <w:tcW w:w="11907" w:type="dxa"/>
          </w:tcPr>
          <w:p w14:paraId="2A26C1E1" w14:textId="22E12448" w:rsidR="00781D68" w:rsidRPr="00781D68" w:rsidRDefault="004D6FDE" w:rsidP="004D6FDE">
            <w:pPr>
              <w:pStyle w:val="BodyText"/>
              <w:ind w:left="143"/>
              <w:rPr>
                <w:lang w:val="en-GB"/>
              </w:rPr>
            </w:pPr>
            <w:r>
              <w:rPr>
                <w:b/>
                <w:lang w:val="en-GB"/>
              </w:rPr>
              <w:t>Dissected C</w:t>
            </w:r>
            <w:r w:rsidR="00781D68" w:rsidRPr="00781D68">
              <w:rPr>
                <w:b/>
                <w:lang w:val="en-GB"/>
              </w:rPr>
              <w:t>hart</w:t>
            </w:r>
            <w:r>
              <w:rPr>
                <w:b/>
                <w:lang w:val="en-GB"/>
              </w:rPr>
              <w:t>s</w:t>
            </w:r>
            <w:r w:rsidR="00781D68" w:rsidRPr="00781D68">
              <w:rPr>
                <w:b/>
                <w:lang w:val="en-GB"/>
              </w:rPr>
              <w:t>tring</w:t>
            </w:r>
            <w:r w:rsidR="00781D68" w:rsidRPr="00781D68">
              <w:rPr>
                <w:lang w:val="en-GB"/>
              </w:rPr>
              <w:t xml:space="preserve">: Can be unhidden by </w:t>
            </w:r>
            <w:proofErr w:type="gramStart"/>
            <w:r w:rsidR="00781D68" w:rsidRPr="00781D68">
              <w:rPr>
                <w:lang w:val="en-GB"/>
              </w:rPr>
              <w:t xml:space="preserve">selecting </w:t>
            </w:r>
            <w:proofErr w:type="gramEnd"/>
            <w:r w:rsidR="00781D68" w:rsidRPr="00781D68">
              <w:rPr>
                <w:noProof/>
                <w:lang w:eastAsia="en-AU"/>
              </w:rPr>
              <w:drawing>
                <wp:inline distT="0" distB="0" distL="0" distR="0" wp14:anchorId="025035FD" wp14:editId="5A33E5E1">
                  <wp:extent cx="238125" cy="238125"/>
                  <wp:effectExtent l="0" t="0" r="9525" b="9525"/>
                  <wp:docPr id="20" name="Picture 20" descr="S:\Management Accounting Group\Budget &amp; Forecast Workbook\Workbook 2016 Development\Buttons\View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nagement Accounting Group\Budget &amp; Forecast Workbook\Workbook 2016 Development\Buttons\ViewC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781D68" w:rsidRPr="00781D68">
              <w:rPr>
                <w:lang w:val="en-GB"/>
              </w:rPr>
              <w:t>. This can be used to sort based on particular sections of the chartstring, e.g. Fund.</w:t>
            </w:r>
          </w:p>
        </w:tc>
        <w:tc>
          <w:tcPr>
            <w:tcW w:w="1134" w:type="dxa"/>
            <w:shd w:val="clear" w:color="auto" w:fill="FBB800"/>
          </w:tcPr>
          <w:p w14:paraId="2BE88CDC" w14:textId="77777777" w:rsidR="00781D68" w:rsidRPr="00C80A4B" w:rsidRDefault="00781D68" w:rsidP="00781D68">
            <w:pPr>
              <w:pStyle w:val="BodyText"/>
              <w:jc w:val="center"/>
              <w:rPr>
                <w:color w:val="FFFFFF" w:themeColor="background1"/>
                <w:lang w:val="en-GB"/>
              </w:rPr>
            </w:pPr>
            <w:r w:rsidRPr="00C80A4B">
              <w:rPr>
                <w:b/>
                <w:color w:val="FFFFFF" w:themeColor="background1"/>
                <w:lang w:val="en-GB"/>
              </w:rPr>
              <w:t>NO</w:t>
            </w:r>
          </w:p>
        </w:tc>
      </w:tr>
      <w:tr w:rsidR="00781D68" w:rsidRPr="00781D68" w14:paraId="4BCEA645" w14:textId="77777777" w:rsidTr="00E53A35">
        <w:trPr>
          <w:trHeight w:val="562"/>
        </w:trPr>
        <w:tc>
          <w:tcPr>
            <w:tcW w:w="1408" w:type="dxa"/>
          </w:tcPr>
          <w:p w14:paraId="01F34940" w14:textId="50279F8E" w:rsidR="00781D68" w:rsidRPr="00781D68" w:rsidRDefault="003E5B97" w:rsidP="00781D68">
            <w:pPr>
              <w:pStyle w:val="BodyText"/>
              <w:jc w:val="center"/>
              <w:rPr>
                <w:b/>
                <w:lang w:val="en-GB"/>
              </w:rPr>
            </w:pPr>
            <w:r>
              <w:rPr>
                <w:b/>
                <w:lang w:val="en-GB"/>
              </w:rPr>
              <w:t>T</w:t>
            </w:r>
            <w:r w:rsidR="00C81D8D">
              <w:rPr>
                <w:b/>
                <w:lang w:val="en-GB"/>
              </w:rPr>
              <w:t xml:space="preserve"> </w:t>
            </w:r>
            <w:r>
              <w:rPr>
                <w:b/>
                <w:lang w:val="en-GB"/>
              </w:rPr>
              <w:t>-</w:t>
            </w:r>
            <w:r w:rsidR="00C81D8D">
              <w:rPr>
                <w:b/>
                <w:lang w:val="en-GB"/>
              </w:rPr>
              <w:t xml:space="preserve"> </w:t>
            </w:r>
            <w:r>
              <w:rPr>
                <w:b/>
                <w:lang w:val="en-GB"/>
              </w:rPr>
              <w:t>AA</w:t>
            </w:r>
          </w:p>
        </w:tc>
        <w:tc>
          <w:tcPr>
            <w:tcW w:w="11907" w:type="dxa"/>
          </w:tcPr>
          <w:p w14:paraId="6D4DCD7A" w14:textId="7FDFEAFA" w:rsidR="00781D68" w:rsidRPr="00781D68" w:rsidRDefault="00781D68" w:rsidP="00F05DE7">
            <w:pPr>
              <w:pStyle w:val="BodyText"/>
              <w:ind w:left="143"/>
              <w:rPr>
                <w:lang w:val="en-GB"/>
              </w:rPr>
            </w:pPr>
            <w:r w:rsidRPr="00781D68">
              <w:rPr>
                <w:b/>
                <w:lang w:val="en-GB"/>
              </w:rPr>
              <w:t>Project Details</w:t>
            </w:r>
            <w:r w:rsidRPr="00781D68">
              <w:rPr>
                <w:lang w:val="en-GB"/>
              </w:rPr>
              <w:t xml:space="preserve">: Can be unhidden by </w:t>
            </w:r>
            <w:proofErr w:type="gramStart"/>
            <w:r w:rsidR="00932C2F" w:rsidRPr="00781D68">
              <w:rPr>
                <w:lang w:val="en-GB"/>
              </w:rPr>
              <w:t>selecting</w:t>
            </w:r>
            <w:r w:rsidR="00932C2F">
              <w:rPr>
                <w:lang w:val="en-GB"/>
              </w:rPr>
              <w:t xml:space="preserve"> </w:t>
            </w:r>
            <w:proofErr w:type="gramEnd"/>
            <w:r w:rsidRPr="00781D68">
              <w:rPr>
                <w:noProof/>
                <w:lang w:eastAsia="en-AU"/>
              </w:rPr>
              <w:drawing>
                <wp:inline distT="0" distB="0" distL="0" distR="0" wp14:anchorId="1406C0B6" wp14:editId="621BB3AC">
                  <wp:extent cx="238125" cy="238125"/>
                  <wp:effectExtent l="0" t="0" r="9525" b="9525"/>
                  <wp:docPr id="23" name="Picture 23" descr="C:\DAVID\DAVID\1.Workbook\3. Dev\buttons\Proj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D\DAVID\1.Workbook\3. Dev\buttons\Project.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81D68">
              <w:rPr>
                <w:lang w:val="en-GB"/>
              </w:rPr>
              <w:t xml:space="preserve">. This can be used to sort based on particular project detail, e.g. Status </w:t>
            </w:r>
            <w:proofErr w:type="spellStart"/>
            <w:r w:rsidRPr="00781D68">
              <w:rPr>
                <w:lang w:val="en-GB"/>
              </w:rPr>
              <w:t>Desc</w:t>
            </w:r>
            <w:proofErr w:type="spellEnd"/>
            <w:r w:rsidRPr="00781D68">
              <w:rPr>
                <w:lang w:val="en-GB"/>
              </w:rPr>
              <w:t>.</w:t>
            </w:r>
          </w:p>
        </w:tc>
        <w:tc>
          <w:tcPr>
            <w:tcW w:w="1134" w:type="dxa"/>
            <w:shd w:val="clear" w:color="auto" w:fill="FBB800"/>
          </w:tcPr>
          <w:p w14:paraId="5CD0A81F" w14:textId="77777777" w:rsidR="00781D68" w:rsidRPr="00C80A4B" w:rsidRDefault="00781D68" w:rsidP="00781D68">
            <w:pPr>
              <w:pStyle w:val="BodyText"/>
              <w:jc w:val="center"/>
              <w:rPr>
                <w:color w:val="FFFFFF" w:themeColor="background1"/>
                <w:lang w:val="en-GB"/>
              </w:rPr>
            </w:pPr>
            <w:r w:rsidRPr="00C80A4B">
              <w:rPr>
                <w:b/>
                <w:color w:val="FFFFFF" w:themeColor="background1"/>
                <w:lang w:val="en-GB"/>
              </w:rPr>
              <w:t>NO</w:t>
            </w:r>
          </w:p>
        </w:tc>
      </w:tr>
      <w:tr w:rsidR="00781D68" w:rsidRPr="00781D68" w14:paraId="4A9ED927" w14:textId="77777777" w:rsidTr="00E53A35">
        <w:trPr>
          <w:trHeight w:val="537"/>
        </w:trPr>
        <w:tc>
          <w:tcPr>
            <w:tcW w:w="1408" w:type="dxa"/>
          </w:tcPr>
          <w:p w14:paraId="558CE4CE" w14:textId="6575A298" w:rsidR="00781D68" w:rsidRPr="00781D68" w:rsidRDefault="003E5B97" w:rsidP="00781D68">
            <w:pPr>
              <w:pStyle w:val="BodyText"/>
              <w:jc w:val="center"/>
              <w:rPr>
                <w:b/>
                <w:lang w:val="en-GB"/>
              </w:rPr>
            </w:pPr>
            <w:r>
              <w:rPr>
                <w:b/>
                <w:lang w:val="en-GB"/>
              </w:rPr>
              <w:t>AI</w:t>
            </w:r>
            <w:r w:rsidR="00C81D8D">
              <w:rPr>
                <w:b/>
                <w:lang w:val="en-GB"/>
              </w:rPr>
              <w:t xml:space="preserve"> </w:t>
            </w:r>
            <w:r>
              <w:rPr>
                <w:b/>
                <w:lang w:val="en-GB"/>
              </w:rPr>
              <w:t>-</w:t>
            </w:r>
            <w:r w:rsidR="00C81D8D">
              <w:rPr>
                <w:b/>
                <w:lang w:val="en-GB"/>
              </w:rPr>
              <w:t xml:space="preserve"> </w:t>
            </w:r>
            <w:r>
              <w:rPr>
                <w:b/>
                <w:lang w:val="en-GB"/>
              </w:rPr>
              <w:t>AL</w:t>
            </w:r>
          </w:p>
        </w:tc>
        <w:tc>
          <w:tcPr>
            <w:tcW w:w="11907" w:type="dxa"/>
          </w:tcPr>
          <w:p w14:paraId="19328376" w14:textId="7151CC5A" w:rsidR="00781D68" w:rsidRPr="00781D68" w:rsidRDefault="004D6FDE" w:rsidP="004D6FDE">
            <w:pPr>
              <w:pStyle w:val="BodyText"/>
              <w:ind w:left="143"/>
              <w:rPr>
                <w:lang w:val="en-GB"/>
              </w:rPr>
            </w:pPr>
            <w:r>
              <w:rPr>
                <w:b/>
                <w:lang w:val="en-GB"/>
              </w:rPr>
              <w:t>Merge Charts</w:t>
            </w:r>
            <w:r w:rsidR="00781D68" w:rsidRPr="00781D68">
              <w:rPr>
                <w:b/>
                <w:lang w:val="en-GB"/>
              </w:rPr>
              <w:t>tring Details</w:t>
            </w:r>
            <w:r>
              <w:rPr>
                <w:lang w:val="en-GB"/>
              </w:rPr>
              <w:t>: Merge Destination charts</w:t>
            </w:r>
            <w:r w:rsidR="00781D68" w:rsidRPr="00781D68">
              <w:rPr>
                <w:lang w:val="en-GB"/>
              </w:rPr>
              <w:t>tring, Merge Description and Merge Status information.</w:t>
            </w:r>
          </w:p>
        </w:tc>
        <w:tc>
          <w:tcPr>
            <w:tcW w:w="1134" w:type="dxa"/>
            <w:shd w:val="clear" w:color="auto" w:fill="FBB800"/>
          </w:tcPr>
          <w:p w14:paraId="41EA0A6D"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YES/ NO</w:t>
            </w:r>
          </w:p>
        </w:tc>
      </w:tr>
      <w:tr w:rsidR="00781D68" w:rsidRPr="00781D68" w14:paraId="7F79E4EC" w14:textId="77777777" w:rsidTr="00E53A35">
        <w:trPr>
          <w:trHeight w:val="537"/>
        </w:trPr>
        <w:tc>
          <w:tcPr>
            <w:tcW w:w="1408" w:type="dxa"/>
          </w:tcPr>
          <w:p w14:paraId="7E0B488C" w14:textId="352E4499" w:rsidR="00781D68" w:rsidRPr="00781D68" w:rsidRDefault="003E5B97" w:rsidP="00781D68">
            <w:pPr>
              <w:pStyle w:val="BodyText"/>
              <w:jc w:val="center"/>
              <w:rPr>
                <w:b/>
                <w:lang w:val="en-GB"/>
              </w:rPr>
            </w:pPr>
            <w:r>
              <w:rPr>
                <w:b/>
                <w:lang w:val="en-GB"/>
              </w:rPr>
              <w:t>AN</w:t>
            </w:r>
            <w:r w:rsidR="00C81D8D">
              <w:rPr>
                <w:b/>
                <w:lang w:val="en-GB"/>
              </w:rPr>
              <w:t xml:space="preserve"> </w:t>
            </w:r>
            <w:r>
              <w:rPr>
                <w:b/>
                <w:lang w:val="en-GB"/>
              </w:rPr>
              <w:t>-</w:t>
            </w:r>
            <w:r w:rsidR="00C81D8D">
              <w:rPr>
                <w:b/>
                <w:lang w:val="en-GB"/>
              </w:rPr>
              <w:t xml:space="preserve"> </w:t>
            </w:r>
            <w:r>
              <w:rPr>
                <w:b/>
                <w:lang w:val="en-GB"/>
              </w:rPr>
              <w:t>AO</w:t>
            </w:r>
          </w:p>
        </w:tc>
        <w:tc>
          <w:tcPr>
            <w:tcW w:w="11907" w:type="dxa"/>
          </w:tcPr>
          <w:p w14:paraId="11EB17AD" w14:textId="77777777" w:rsidR="00781D68" w:rsidRPr="00781D68" w:rsidRDefault="00781D68" w:rsidP="00F05DE7">
            <w:pPr>
              <w:pStyle w:val="BodyText"/>
              <w:ind w:left="143"/>
              <w:rPr>
                <w:lang w:val="en-GB"/>
              </w:rPr>
            </w:pPr>
            <w:r w:rsidRPr="00781D68">
              <w:rPr>
                <w:b/>
                <w:lang w:val="en-GB"/>
              </w:rPr>
              <w:t>User Reference/Comments</w:t>
            </w:r>
            <w:r w:rsidRPr="00781D68">
              <w:rPr>
                <w:lang w:val="en-GB"/>
              </w:rPr>
              <w:t>:  Users can input into these columns for references.</w:t>
            </w:r>
          </w:p>
        </w:tc>
        <w:tc>
          <w:tcPr>
            <w:tcW w:w="1134" w:type="dxa"/>
            <w:shd w:val="clear" w:color="auto" w:fill="FBB800"/>
          </w:tcPr>
          <w:p w14:paraId="02F80239" w14:textId="77777777" w:rsidR="00781D68" w:rsidRPr="00C80A4B" w:rsidRDefault="00781D68" w:rsidP="00781D68">
            <w:pPr>
              <w:pStyle w:val="BodyText"/>
              <w:jc w:val="center"/>
              <w:rPr>
                <w:b/>
                <w:color w:val="FFFFFF" w:themeColor="background1"/>
                <w:lang w:val="en-GB"/>
              </w:rPr>
            </w:pPr>
            <w:r w:rsidRPr="00C80A4B">
              <w:rPr>
                <w:b/>
                <w:color w:val="FFFFFF" w:themeColor="background1"/>
                <w:lang w:val="en-GB"/>
              </w:rPr>
              <w:t>YES</w:t>
            </w:r>
          </w:p>
        </w:tc>
      </w:tr>
    </w:tbl>
    <w:p w14:paraId="09805F32" w14:textId="262F0FB0" w:rsidR="00781D68" w:rsidRDefault="00781D68" w:rsidP="009F4E10">
      <w:pPr>
        <w:pStyle w:val="BodyText"/>
      </w:pPr>
    </w:p>
    <w:p w14:paraId="5C512A3E" w14:textId="01C9D84C" w:rsidR="009F4E10" w:rsidRPr="004E4F05" w:rsidRDefault="004D6FDE" w:rsidP="009F4E10">
      <w:pPr>
        <w:pStyle w:val="Heading2"/>
        <w:rPr>
          <w:color w:val="51247A"/>
        </w:rPr>
      </w:pPr>
      <w:r>
        <w:rPr>
          <w:color w:val="51247A"/>
        </w:rPr>
        <w:t>Adding a New Charts</w:t>
      </w:r>
      <w:r w:rsidR="00F05DE7" w:rsidRPr="004E4F05">
        <w:rPr>
          <w:color w:val="51247A"/>
        </w:rPr>
        <w:t>tring</w:t>
      </w:r>
    </w:p>
    <w:p w14:paraId="323EAE5F" w14:textId="5BF0EB6E" w:rsidR="00F05DE7" w:rsidRPr="00F05DE7" w:rsidRDefault="00F05DE7" w:rsidP="00F05DE7">
      <w:pPr>
        <w:pStyle w:val="ListNumber0"/>
        <w:numPr>
          <w:ilvl w:val="0"/>
          <w:numId w:val="0"/>
        </w:numPr>
        <w:rPr>
          <w:lang w:val="en-GB"/>
        </w:rPr>
      </w:pPr>
      <w:r w:rsidRPr="00F05DE7">
        <w:rPr>
          <w:lang w:val="en-GB"/>
        </w:rPr>
        <w:t>To add a ne</w:t>
      </w:r>
      <w:r w:rsidR="00045CDD">
        <w:rPr>
          <w:lang w:val="en-GB"/>
        </w:rPr>
        <w:t>w chartstring select on a cell o</w:t>
      </w:r>
      <w:r w:rsidRPr="00F05DE7">
        <w:rPr>
          <w:lang w:val="en-GB"/>
        </w:rPr>
        <w:t>n the register where you want to add the new chartstring, select</w:t>
      </w:r>
      <w:r w:rsidRPr="00F05DE7">
        <w:rPr>
          <w:noProof/>
          <w:lang w:eastAsia="en-AU"/>
        </w:rPr>
        <w:drawing>
          <wp:inline distT="0" distB="0" distL="0" distR="0" wp14:anchorId="55C8815C" wp14:editId="08178CA1">
            <wp:extent cx="257175" cy="2571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F05DE7">
        <w:rPr>
          <w:lang w:val="en-GB"/>
        </w:rPr>
        <w:t xml:space="preserve"> and foll</w:t>
      </w:r>
      <w:r w:rsidR="004D6FDE">
        <w:rPr>
          <w:lang w:val="en-GB"/>
        </w:rPr>
        <w:t>ow the prompts to add the chart</w:t>
      </w:r>
      <w:r w:rsidRPr="00F05DE7">
        <w:rPr>
          <w:lang w:val="en-GB"/>
        </w:rPr>
        <w:t>string (you will need to ensure that the chartstring is in the correct format).</w:t>
      </w:r>
    </w:p>
    <w:p w14:paraId="004FFF02" w14:textId="22284048" w:rsidR="00F05DE7" w:rsidRPr="00F05DE7" w:rsidRDefault="00F05DE7" w:rsidP="00F05DE7">
      <w:pPr>
        <w:pStyle w:val="ListNumber0"/>
        <w:numPr>
          <w:ilvl w:val="0"/>
          <w:numId w:val="0"/>
        </w:numPr>
        <w:rPr>
          <w:lang w:val="en-GB"/>
        </w:rPr>
      </w:pPr>
      <w:r w:rsidRPr="00F05DE7">
        <w:rPr>
          <w:lang w:val="en-GB"/>
        </w:rPr>
        <w:t xml:space="preserve">     </w:t>
      </w:r>
    </w:p>
    <w:p w14:paraId="1A1CF29A" w14:textId="2F8839AC" w:rsidR="009F4E10" w:rsidRPr="00AD382E" w:rsidRDefault="003C1402" w:rsidP="002B5753">
      <w:pPr>
        <w:pStyle w:val="ListNumber0"/>
        <w:numPr>
          <w:ilvl w:val="0"/>
          <w:numId w:val="0"/>
        </w:numPr>
        <w:pBdr>
          <w:top w:val="single" w:sz="4" w:space="1" w:color="auto"/>
          <w:left w:val="single" w:sz="4" w:space="4" w:color="auto"/>
          <w:bottom w:val="single" w:sz="4" w:space="1" w:color="auto"/>
          <w:right w:val="single" w:sz="4" w:space="4" w:color="auto"/>
        </w:pBdr>
        <w:ind w:left="284" w:right="395"/>
        <w:rPr>
          <w:i/>
        </w:rPr>
      </w:pPr>
      <w:r w:rsidRPr="00F05DE7">
        <w:rPr>
          <w:noProof/>
          <w:lang w:eastAsia="en-AU"/>
        </w:rPr>
        <w:drawing>
          <wp:inline distT="0" distB="0" distL="0" distR="0" wp14:anchorId="761C2077" wp14:editId="6A0B44D4">
            <wp:extent cx="133350" cy="190500"/>
            <wp:effectExtent l="0" t="0" r="0" b="0"/>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lum/>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00F05DE7" w:rsidRPr="00AD382E">
        <w:rPr>
          <w:b/>
          <w:i/>
          <w:lang w:val="en-GB"/>
        </w:rPr>
        <w:t>TIP</w:t>
      </w:r>
      <w:r w:rsidR="00F05DE7" w:rsidRPr="00AD382E">
        <w:rPr>
          <w:i/>
          <w:lang w:val="en-GB"/>
        </w:rPr>
        <w:t xml:space="preserve"> – The newly added chartstring default description will be based on the COA – this can be edited to something more meaningful to the user if desired.</w:t>
      </w:r>
    </w:p>
    <w:p w14:paraId="19E70DAA" w14:textId="520B8A6D" w:rsidR="002F07CF" w:rsidRDefault="002F07CF" w:rsidP="009F4E10">
      <w:pPr>
        <w:pStyle w:val="ListNumber0"/>
        <w:numPr>
          <w:ilvl w:val="0"/>
          <w:numId w:val="0"/>
        </w:numPr>
        <w:ind w:left="425" w:hanging="425"/>
      </w:pPr>
    </w:p>
    <w:p w14:paraId="778B75AC" w14:textId="77777777" w:rsidR="00DA30E7" w:rsidRDefault="00DA30E7" w:rsidP="002F07CF">
      <w:pPr>
        <w:pStyle w:val="Heading2"/>
      </w:pPr>
    </w:p>
    <w:p w14:paraId="5DE3A410" w14:textId="3A51C8AF" w:rsidR="002F07CF" w:rsidRDefault="004D6FDE" w:rsidP="002F07CF">
      <w:pPr>
        <w:pStyle w:val="Heading2"/>
      </w:pPr>
      <w:r>
        <w:t>Deleting a Charts</w:t>
      </w:r>
      <w:r w:rsidR="002F07CF">
        <w:t>tring</w:t>
      </w:r>
    </w:p>
    <w:p w14:paraId="20E5B2B7" w14:textId="26EE84AB" w:rsidR="002F07CF" w:rsidRDefault="002F07CF" w:rsidP="002F07CF">
      <w:pPr>
        <w:pStyle w:val="ListNumber0"/>
        <w:numPr>
          <w:ilvl w:val="0"/>
          <w:numId w:val="0"/>
        </w:numPr>
        <w:rPr>
          <w:bCs/>
          <w:lang w:val="en-US"/>
        </w:rPr>
      </w:pPr>
      <w:r w:rsidRPr="002F07CF">
        <w:rPr>
          <w:lang w:val="en-GB"/>
        </w:rPr>
        <w:t xml:space="preserve">To delete a chartstring select anywhere on </w:t>
      </w:r>
      <w:r w:rsidRPr="002F07CF">
        <w:rPr>
          <w:bCs/>
          <w:lang w:val="en-US"/>
        </w:rPr>
        <w:t>the row that you want to delete before pushing the delete button</w:t>
      </w:r>
      <w:r w:rsidRPr="002F07CF">
        <w:rPr>
          <w:bCs/>
          <w:noProof/>
          <w:lang w:eastAsia="en-AU"/>
        </w:rPr>
        <w:drawing>
          <wp:inline distT="0" distB="0" distL="0" distR="0" wp14:anchorId="2705EA07" wp14:editId="28EFD653">
            <wp:extent cx="257175" cy="2571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2F07CF">
        <w:rPr>
          <w:bCs/>
          <w:lang w:val="en-US"/>
        </w:rPr>
        <w:t>. You will be asked to confirm your selection before anything is deleted.</w:t>
      </w:r>
    </w:p>
    <w:p w14:paraId="74E3E46D" w14:textId="1EA90BED" w:rsidR="002F07CF" w:rsidRPr="002F07CF" w:rsidRDefault="002F07CF" w:rsidP="002F07CF">
      <w:pPr>
        <w:pStyle w:val="ListNumber0"/>
        <w:numPr>
          <w:ilvl w:val="0"/>
          <w:numId w:val="0"/>
        </w:numPr>
        <w:rPr>
          <w:lang w:val="en-GB"/>
        </w:rPr>
      </w:pPr>
      <w:r w:rsidRPr="002F07CF">
        <w:rPr>
          <w:b/>
          <w:bCs/>
          <w:color w:val="FF0000"/>
          <w:lang w:val="en-US"/>
        </w:rPr>
        <w:t xml:space="preserve">Note </w:t>
      </w:r>
      <w:r w:rsidRPr="002F07CF">
        <w:rPr>
          <w:b/>
          <w:bCs/>
          <w:lang w:val="en-US"/>
        </w:rPr>
        <w:t>-</w:t>
      </w:r>
      <w:r w:rsidRPr="002F07CF">
        <w:rPr>
          <w:bCs/>
          <w:lang w:val="en-US"/>
        </w:rPr>
        <w:t xml:space="preserve"> For a chartstring to be deleted “</w:t>
      </w:r>
      <w:r w:rsidR="006A24C4">
        <w:rPr>
          <w:bCs/>
          <w:lang w:val="en-US"/>
        </w:rPr>
        <w:t xml:space="preserve">Action” in Column </w:t>
      </w:r>
      <w:r w:rsidRPr="002F07CF">
        <w:rPr>
          <w:bCs/>
          <w:lang w:val="en-US"/>
        </w:rPr>
        <w:t xml:space="preserve">H must be showing </w:t>
      </w:r>
      <w:r w:rsidR="004249B0" w:rsidRPr="002F07CF">
        <w:rPr>
          <w:bCs/>
          <w:lang w:val="en-US"/>
        </w:rPr>
        <w:t>“</w:t>
      </w:r>
      <w:r w:rsidR="004249B0" w:rsidRPr="007E3DDB">
        <w:rPr>
          <w:b/>
          <w:bCs/>
          <w:color w:val="FF0000"/>
          <w:lang w:val="en-US"/>
        </w:rPr>
        <w:t>X</w:t>
      </w:r>
      <w:r w:rsidR="004249B0" w:rsidRPr="002F07CF">
        <w:rPr>
          <w:bCs/>
          <w:lang w:val="en-US"/>
        </w:rPr>
        <w:t xml:space="preserve">” </w:t>
      </w:r>
      <w:r w:rsidRPr="002F07CF">
        <w:rPr>
          <w:bCs/>
          <w:lang w:val="en-US"/>
        </w:rPr>
        <w:t>– this will mean both the “User Status” and “Check Status” are “</w:t>
      </w:r>
      <w:r w:rsidRPr="007E3DDB">
        <w:rPr>
          <w:b/>
          <w:bCs/>
          <w:color w:val="FF0000"/>
          <w:lang w:val="en-US"/>
        </w:rPr>
        <w:t>X</w:t>
      </w:r>
      <w:r w:rsidRPr="002F07CF">
        <w:rPr>
          <w:bCs/>
          <w:lang w:val="en-US"/>
        </w:rPr>
        <w:t>” for Inactive, i.e. there are no balances associated with that chartstring in the ledgers and the user has marked the chartstring as no longer needed.</w:t>
      </w:r>
    </w:p>
    <w:p w14:paraId="1FCA4E11" w14:textId="7663CAD3" w:rsidR="002F07CF" w:rsidRDefault="002F07CF" w:rsidP="009F4E10">
      <w:pPr>
        <w:pStyle w:val="ListNumber0"/>
        <w:numPr>
          <w:ilvl w:val="0"/>
          <w:numId w:val="0"/>
        </w:numPr>
        <w:ind w:left="425" w:hanging="425"/>
      </w:pPr>
    </w:p>
    <w:p w14:paraId="7BAD7210" w14:textId="0A2EEA0F" w:rsidR="007D347B" w:rsidRDefault="007D347B" w:rsidP="007D347B">
      <w:pPr>
        <w:pStyle w:val="Heading2"/>
      </w:pPr>
      <w:r>
        <w:t>Sorting Register</w:t>
      </w:r>
    </w:p>
    <w:p w14:paraId="4CFF00B6" w14:textId="65C298AC" w:rsidR="007D347B" w:rsidRPr="007D347B" w:rsidRDefault="007D347B" w:rsidP="007D347B">
      <w:pPr>
        <w:pStyle w:val="ListNumber0"/>
        <w:numPr>
          <w:ilvl w:val="0"/>
          <w:numId w:val="0"/>
        </w:numPr>
        <w:rPr>
          <w:bCs/>
          <w:lang w:val="en-US"/>
        </w:rPr>
      </w:pPr>
      <w:r w:rsidRPr="007D347B">
        <w:rPr>
          <w:lang w:val="en-GB"/>
        </w:rPr>
        <w:t xml:space="preserve">In order to help manage your chartstring register you can use the sort function. Selecting </w:t>
      </w:r>
      <w:r w:rsidRPr="007D347B">
        <w:rPr>
          <w:noProof/>
          <w:lang w:eastAsia="en-AU"/>
        </w:rPr>
        <w:drawing>
          <wp:inline distT="0" distB="0" distL="0" distR="0" wp14:anchorId="4DE1D71A" wp14:editId="6C05EA18">
            <wp:extent cx="257175" cy="257175"/>
            <wp:effectExtent l="19050" t="0" r="9525"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D347B">
        <w:rPr>
          <w:lang w:val="en-GB"/>
        </w:rPr>
        <w:t xml:space="preserve"> brings up a Sort box where the user can define column No. to ‘Sort by’ to sort the chartstring register (additional levels can be selected to further enhanced sort levels)</w:t>
      </w:r>
      <w:r w:rsidRPr="007D347B">
        <w:rPr>
          <w:bCs/>
          <w:lang w:val="en-US"/>
        </w:rPr>
        <w:t>.</w:t>
      </w:r>
    </w:p>
    <w:p w14:paraId="6DCB13F7" w14:textId="77777777" w:rsidR="007D347B" w:rsidRPr="007D347B" w:rsidRDefault="007D347B" w:rsidP="007D347B">
      <w:pPr>
        <w:pStyle w:val="ListNumber0"/>
        <w:numPr>
          <w:ilvl w:val="0"/>
          <w:numId w:val="0"/>
        </w:numPr>
        <w:rPr>
          <w:bCs/>
          <w:lang w:val="en-US"/>
        </w:rPr>
      </w:pPr>
    </w:p>
    <w:p w14:paraId="22C9E05F" w14:textId="77777777" w:rsidR="007D347B" w:rsidRPr="007D347B" w:rsidRDefault="007D347B" w:rsidP="0013414F">
      <w:pPr>
        <w:pStyle w:val="ListNumber0"/>
        <w:numPr>
          <w:ilvl w:val="0"/>
          <w:numId w:val="0"/>
        </w:numPr>
        <w:jc w:val="center"/>
        <w:rPr>
          <w:bCs/>
          <w:lang w:val="en-US"/>
        </w:rPr>
      </w:pPr>
      <w:r w:rsidRPr="007D347B">
        <w:rPr>
          <w:noProof/>
          <w:lang w:eastAsia="en-AU"/>
        </w:rPr>
        <w:drawing>
          <wp:inline distT="0" distB="0" distL="0" distR="0" wp14:anchorId="39F278E8" wp14:editId="63D12863">
            <wp:extent cx="5492752" cy="1031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59011"/>
                    <a:stretch/>
                  </pic:blipFill>
                  <pic:spPr bwMode="auto">
                    <a:xfrm>
                      <a:off x="0" y="0"/>
                      <a:ext cx="5558992" cy="1044319"/>
                    </a:xfrm>
                    <a:prstGeom prst="rect">
                      <a:avLst/>
                    </a:prstGeom>
                    <a:ln>
                      <a:noFill/>
                    </a:ln>
                    <a:extLst>
                      <a:ext uri="{53640926-AAD7-44D8-BBD7-CCE9431645EC}">
                        <a14:shadowObscured xmlns:a14="http://schemas.microsoft.com/office/drawing/2010/main"/>
                      </a:ext>
                    </a:extLst>
                  </pic:spPr>
                </pic:pic>
              </a:graphicData>
            </a:graphic>
          </wp:inline>
        </w:drawing>
      </w:r>
    </w:p>
    <w:p w14:paraId="74E63996" w14:textId="77777777" w:rsidR="002B5753" w:rsidRDefault="002B5753">
      <w:pPr>
        <w:spacing w:after="160" w:line="259" w:lineRule="auto"/>
        <w:rPr>
          <w:bCs/>
          <w:lang w:val="en-US"/>
        </w:rPr>
      </w:pPr>
      <w:r>
        <w:rPr>
          <w:bCs/>
          <w:lang w:val="en-US"/>
        </w:rPr>
        <w:br w:type="page"/>
      </w:r>
    </w:p>
    <w:p w14:paraId="6F5EE2AE" w14:textId="38050C0E" w:rsidR="007D347B" w:rsidRPr="007D347B" w:rsidRDefault="007D347B" w:rsidP="007D347B">
      <w:pPr>
        <w:pStyle w:val="ListNumber0"/>
        <w:numPr>
          <w:ilvl w:val="0"/>
          <w:numId w:val="0"/>
        </w:numPr>
        <w:rPr>
          <w:bCs/>
          <w:lang w:val="en-US"/>
        </w:rPr>
      </w:pPr>
    </w:p>
    <w:p w14:paraId="262B3176" w14:textId="65B0059F" w:rsidR="007D347B" w:rsidRPr="00AD382E" w:rsidRDefault="003C1402" w:rsidP="002B5753">
      <w:pPr>
        <w:pStyle w:val="ListNumber0"/>
        <w:numPr>
          <w:ilvl w:val="0"/>
          <w:numId w:val="0"/>
        </w:numPr>
        <w:pBdr>
          <w:top w:val="single" w:sz="4" w:space="1" w:color="auto"/>
          <w:left w:val="single" w:sz="4" w:space="4" w:color="auto"/>
          <w:bottom w:val="single" w:sz="4" w:space="1" w:color="auto"/>
          <w:right w:val="single" w:sz="4" w:space="4" w:color="auto"/>
        </w:pBdr>
        <w:ind w:left="284" w:right="395"/>
        <w:rPr>
          <w:i/>
          <w:lang w:val="en-GB"/>
        </w:rPr>
      </w:pPr>
      <w:r w:rsidRPr="007D347B">
        <w:rPr>
          <w:bCs/>
          <w:noProof/>
          <w:lang w:eastAsia="en-AU"/>
        </w:rPr>
        <w:drawing>
          <wp:inline distT="0" distB="0" distL="0" distR="0" wp14:anchorId="4C3EDE04" wp14:editId="57D35DF8">
            <wp:extent cx="133350" cy="190500"/>
            <wp:effectExtent l="0" t="0" r="0" b="0"/>
            <wp:docPr id="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lum/>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007D347B" w:rsidRPr="00AD382E">
        <w:rPr>
          <w:b/>
          <w:i/>
          <w:lang w:val="en-GB"/>
        </w:rPr>
        <w:t>TIP</w:t>
      </w:r>
      <w:r w:rsidR="007D347B" w:rsidRPr="00AD382E">
        <w:rPr>
          <w:i/>
          <w:lang w:val="en-GB"/>
        </w:rPr>
        <w:t xml:space="preserve"> – If you need to sort the chartstrings into a special order you can populate the User Reference data (in Column AN) to group particular chartstrings and then Sort based on this. E.g. if different people are responsible for certain areas you could put their names in the User Comments column and sort by this to group a</w:t>
      </w:r>
      <w:r w:rsidR="00045CDD">
        <w:rPr>
          <w:i/>
          <w:lang w:val="en-GB"/>
        </w:rPr>
        <w:t>ll their chartstrings together o</w:t>
      </w:r>
      <w:r w:rsidR="007D347B" w:rsidRPr="00AD382E">
        <w:rPr>
          <w:i/>
          <w:lang w:val="en-GB"/>
        </w:rPr>
        <w:t>n the register.</w:t>
      </w:r>
    </w:p>
    <w:p w14:paraId="573D4382" w14:textId="3D57D817" w:rsidR="007D347B" w:rsidRPr="007D347B" w:rsidRDefault="007D347B" w:rsidP="007D347B">
      <w:pPr>
        <w:pStyle w:val="ListNumber0"/>
        <w:numPr>
          <w:ilvl w:val="0"/>
          <w:numId w:val="0"/>
        </w:numPr>
        <w:rPr>
          <w:lang w:val="en-GB"/>
        </w:rPr>
      </w:pPr>
    </w:p>
    <w:p w14:paraId="6453C65D" w14:textId="194DFFEC" w:rsidR="007D347B" w:rsidRPr="00AD382E" w:rsidRDefault="003C1402" w:rsidP="002B5753">
      <w:pPr>
        <w:pStyle w:val="ListNumber0"/>
        <w:numPr>
          <w:ilvl w:val="0"/>
          <w:numId w:val="0"/>
        </w:numPr>
        <w:pBdr>
          <w:top w:val="single" w:sz="4" w:space="1" w:color="auto"/>
          <w:left w:val="single" w:sz="4" w:space="4" w:color="auto"/>
          <w:bottom w:val="single" w:sz="4" w:space="1" w:color="auto"/>
          <w:right w:val="single" w:sz="4" w:space="4" w:color="auto"/>
        </w:pBdr>
        <w:ind w:left="284" w:right="395"/>
        <w:rPr>
          <w:i/>
          <w:lang w:val="en-GB"/>
        </w:rPr>
      </w:pPr>
      <w:r w:rsidRPr="007D347B">
        <w:rPr>
          <w:noProof/>
          <w:lang w:eastAsia="en-AU"/>
        </w:rPr>
        <w:drawing>
          <wp:inline distT="0" distB="0" distL="0" distR="0" wp14:anchorId="6DD97C1C" wp14:editId="52A47428">
            <wp:extent cx="133350" cy="190500"/>
            <wp:effectExtent l="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lum/>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007D347B" w:rsidRPr="00AD382E">
        <w:rPr>
          <w:b/>
          <w:i/>
          <w:lang w:val="en-GB"/>
        </w:rPr>
        <w:t>TIP</w:t>
      </w:r>
      <w:r w:rsidR="004D6FDE">
        <w:rPr>
          <w:i/>
          <w:lang w:val="en-GB"/>
        </w:rPr>
        <w:t xml:space="preserve"> – The drop down list of chart</w:t>
      </w:r>
      <w:r w:rsidR="007D347B" w:rsidRPr="00AD382E">
        <w:rPr>
          <w:i/>
          <w:lang w:val="en-GB"/>
        </w:rPr>
        <w:t xml:space="preserve">strings </w:t>
      </w:r>
      <w:r w:rsidR="00045CDD">
        <w:rPr>
          <w:i/>
          <w:lang w:val="en-GB"/>
        </w:rPr>
        <w:t>o</w:t>
      </w:r>
      <w:r w:rsidR="007D347B" w:rsidRPr="00AD382E">
        <w:rPr>
          <w:i/>
          <w:lang w:val="en-GB"/>
        </w:rPr>
        <w:t xml:space="preserve">n the ”Edit” tab (in the top left hand corner) is linked to the Register list so if you sort the Register into a particular order this will be reflected in the drop down list </w:t>
      </w:r>
      <w:r w:rsidR="00045CDD">
        <w:rPr>
          <w:i/>
          <w:lang w:val="en-GB"/>
        </w:rPr>
        <w:t>o</w:t>
      </w:r>
      <w:r w:rsidR="007D347B" w:rsidRPr="00AD382E">
        <w:rPr>
          <w:i/>
          <w:lang w:val="en-GB"/>
        </w:rPr>
        <w:t>n the Edit tab.  Similarly to Destinatio</w:t>
      </w:r>
      <w:r w:rsidR="004D6FDE">
        <w:rPr>
          <w:i/>
          <w:lang w:val="en-GB"/>
        </w:rPr>
        <w:t>n charts</w:t>
      </w:r>
      <w:r w:rsidR="007D347B" w:rsidRPr="00AD382E">
        <w:rPr>
          <w:i/>
          <w:lang w:val="en-GB"/>
        </w:rPr>
        <w:t>tring column, by sorting in a particular order will be reflected for quicker referencing.</w:t>
      </w:r>
    </w:p>
    <w:p w14:paraId="7CEDCC73" w14:textId="77777777" w:rsidR="007D347B" w:rsidRPr="007D347B" w:rsidRDefault="007D347B" w:rsidP="0013414F">
      <w:pPr>
        <w:pStyle w:val="ListNumber0"/>
        <w:numPr>
          <w:ilvl w:val="0"/>
          <w:numId w:val="0"/>
        </w:numPr>
        <w:rPr>
          <w:b/>
          <w:u w:val="single"/>
          <w:lang w:val="en-GB"/>
        </w:rPr>
      </w:pPr>
    </w:p>
    <w:p w14:paraId="49C962D8" w14:textId="56A113CD" w:rsidR="007D347B" w:rsidRPr="007D347B" w:rsidRDefault="007D347B" w:rsidP="0013414F">
      <w:pPr>
        <w:pStyle w:val="ListNumber0"/>
        <w:numPr>
          <w:ilvl w:val="0"/>
          <w:numId w:val="0"/>
        </w:numPr>
        <w:rPr>
          <w:bCs/>
          <w:lang w:val="en-GB"/>
        </w:rPr>
      </w:pPr>
      <w:r w:rsidRPr="007D347B">
        <w:rPr>
          <w:bCs/>
          <w:lang w:val="en-GB"/>
        </w:rPr>
        <w:t>If you wish</w:t>
      </w:r>
      <w:r w:rsidR="004D6FDE">
        <w:rPr>
          <w:bCs/>
          <w:lang w:val="en-GB"/>
        </w:rPr>
        <w:t xml:space="preserve"> to sort by a part of the chart</w:t>
      </w:r>
      <w:r w:rsidRPr="007D347B">
        <w:rPr>
          <w:bCs/>
          <w:lang w:val="en-GB"/>
        </w:rPr>
        <w:t>string (e.g. Fund or Project) clicking</w:t>
      </w:r>
      <w:r w:rsidR="00953458">
        <w:rPr>
          <w:bCs/>
          <w:lang w:val="en-GB"/>
        </w:rPr>
        <w:t xml:space="preserve">  </w:t>
      </w:r>
      <w:r w:rsidRPr="007D347B">
        <w:rPr>
          <w:b/>
          <w:bCs/>
          <w:noProof/>
          <w:lang w:eastAsia="en-AU"/>
        </w:rPr>
        <w:drawing>
          <wp:inline distT="0" distB="0" distL="0" distR="0" wp14:anchorId="3AD80978" wp14:editId="0CF01CAF">
            <wp:extent cx="238125" cy="238125"/>
            <wp:effectExtent l="0" t="0" r="9525" b="9525"/>
            <wp:docPr id="25" name="Picture 25" descr="S:\Management Accounting Group\Budget &amp; Forecast Workbook\Workbook 2016 Development\Buttons\View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nagement Accounting Group\Budget &amp; Forecast Workbook\Workbook 2016 Development\Buttons\ViewC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D347B">
        <w:rPr>
          <w:bCs/>
          <w:lang w:val="en-GB"/>
        </w:rPr>
        <w:t xml:space="preserve"> will </w:t>
      </w:r>
      <w:r w:rsidR="007E3DDB">
        <w:rPr>
          <w:bCs/>
          <w:lang w:val="en-GB"/>
        </w:rPr>
        <w:t>display</w:t>
      </w:r>
      <w:r w:rsidRPr="007D347B">
        <w:rPr>
          <w:bCs/>
          <w:lang w:val="en-GB"/>
        </w:rPr>
        <w:t xml:space="preserve"> a dissection of</w:t>
      </w:r>
      <w:r w:rsidR="007E3DDB">
        <w:rPr>
          <w:bCs/>
          <w:lang w:val="en-GB"/>
        </w:rPr>
        <w:t xml:space="preserve"> the chartstring in columns </w:t>
      </w:r>
      <w:r w:rsidRPr="007D347B">
        <w:rPr>
          <w:bCs/>
          <w:lang w:val="en-GB"/>
        </w:rPr>
        <w:t>J to S that you can then use the sort function on.</w:t>
      </w:r>
    </w:p>
    <w:p w14:paraId="6D68F922" w14:textId="77777777" w:rsidR="007D347B" w:rsidRDefault="007D347B" w:rsidP="0013414F">
      <w:pPr>
        <w:pStyle w:val="ListNumber0"/>
        <w:numPr>
          <w:ilvl w:val="0"/>
          <w:numId w:val="0"/>
        </w:numPr>
      </w:pPr>
    </w:p>
    <w:p w14:paraId="5373CEA3" w14:textId="5457EEE9" w:rsidR="00B97292" w:rsidRDefault="00045CDD" w:rsidP="00B97292">
      <w:pPr>
        <w:pStyle w:val="Heading2"/>
      </w:pPr>
      <w:r>
        <w:t>Summary of Data Sets o</w:t>
      </w:r>
      <w:r w:rsidR="00B97292">
        <w:t>n the Register tab</w:t>
      </w:r>
    </w:p>
    <w:p w14:paraId="341F3415" w14:textId="77777777" w:rsidR="00B97292" w:rsidRDefault="00B97292" w:rsidP="00BE2752">
      <w:pPr>
        <w:rPr>
          <w:bCs/>
          <w:lang w:val="en-US"/>
        </w:rPr>
      </w:pPr>
    </w:p>
    <w:p w14:paraId="3C5F43CF" w14:textId="53612591" w:rsidR="00781D68" w:rsidRDefault="00B97292" w:rsidP="00BE2752">
      <w:pPr>
        <w:rPr>
          <w:b/>
          <w:sz w:val="24"/>
        </w:rPr>
        <w:sectPr w:rsidR="00781D68" w:rsidSect="00781D68">
          <w:headerReference w:type="default" r:id="rId15"/>
          <w:footerReference w:type="default" r:id="rId16"/>
          <w:headerReference w:type="first" r:id="rId17"/>
          <w:footerReference w:type="first" r:id="rId18"/>
          <w:pgSz w:w="16838" w:h="11906" w:orient="landscape" w:code="9"/>
          <w:pgMar w:top="1702" w:right="1134" w:bottom="1134" w:left="1134" w:header="561" w:footer="510" w:gutter="0"/>
          <w:cols w:space="708"/>
          <w:docGrid w:linePitch="360"/>
        </w:sectPr>
      </w:pPr>
      <w:r w:rsidRPr="00B97292">
        <w:rPr>
          <w:bCs/>
          <w:lang w:val="en-US"/>
        </w:rPr>
        <w:t>The "Register" tab</w:t>
      </w:r>
      <w:r w:rsidR="004D6FDE">
        <w:rPr>
          <w:bCs/>
          <w:lang w:val="en-US"/>
        </w:rPr>
        <w:t xml:space="preserve"> displays summary data by chart</w:t>
      </w:r>
      <w:r w:rsidRPr="00B97292">
        <w:rPr>
          <w:bCs/>
          <w:lang w:val="en-US"/>
        </w:rPr>
        <w:t>string for the following data sets:</w:t>
      </w:r>
    </w:p>
    <w:p w14:paraId="00A12BBB" w14:textId="77777777" w:rsidR="00E64929" w:rsidRDefault="00E64929" w:rsidP="00E64929">
      <w:pPr>
        <w:pStyle w:val="BodyText"/>
        <w:rPr>
          <w:b/>
          <w:u w:val="single"/>
          <w:lang w:val="en-GB"/>
        </w:rPr>
      </w:pPr>
    </w:p>
    <w:p w14:paraId="633CE240" w14:textId="79064565" w:rsidR="00E64929" w:rsidRPr="00E64929" w:rsidRDefault="00E64929" w:rsidP="00006B00">
      <w:pPr>
        <w:pStyle w:val="BodyText"/>
        <w:ind w:left="720"/>
        <w:rPr>
          <w:b/>
          <w:u w:val="single"/>
          <w:lang w:val="en-GB"/>
        </w:rPr>
      </w:pPr>
      <w:r w:rsidRPr="00E64929">
        <w:rPr>
          <w:b/>
          <w:u w:val="single"/>
          <w:lang w:val="en-GB"/>
        </w:rPr>
        <w:t>Set</w:t>
      </w:r>
      <w:r w:rsidRPr="00E64929">
        <w:rPr>
          <w:b/>
          <w:u w:val="single"/>
          <w:lang w:val="en-GB"/>
        </w:rPr>
        <w:tab/>
      </w:r>
      <w:r w:rsidRPr="00E64929">
        <w:rPr>
          <w:b/>
          <w:u w:val="single"/>
          <w:lang w:val="en-GB"/>
        </w:rPr>
        <w:tab/>
        <w:t>Description</w:t>
      </w:r>
      <w:r w:rsidRPr="00E64929">
        <w:rPr>
          <w:b/>
          <w:u w:val="single"/>
          <w:lang w:val="en-GB"/>
        </w:rPr>
        <w:tab/>
      </w:r>
    </w:p>
    <w:p w14:paraId="31C0A9F6" w14:textId="16BE4151" w:rsidR="00E64929" w:rsidRPr="00E64929" w:rsidRDefault="00E64929" w:rsidP="00006B00">
      <w:pPr>
        <w:pStyle w:val="BodyText"/>
        <w:ind w:left="720"/>
        <w:rPr>
          <w:lang w:val="en-GB"/>
        </w:rPr>
      </w:pPr>
      <w:r w:rsidRPr="00E64929">
        <w:rPr>
          <w:lang w:val="en-GB"/>
        </w:rPr>
        <w:t>Forecast</w:t>
      </w:r>
      <w:r>
        <w:rPr>
          <w:lang w:val="en-GB"/>
        </w:rPr>
        <w:tab/>
      </w:r>
      <w:r w:rsidRPr="00E64929">
        <w:rPr>
          <w:lang w:val="en-GB"/>
        </w:rPr>
        <w:t>Workbook Forecast</w:t>
      </w:r>
    </w:p>
    <w:p w14:paraId="47450DBF" w14:textId="71A63A0E" w:rsidR="00E64929" w:rsidRPr="00E64929" w:rsidRDefault="00E64929" w:rsidP="00006B00">
      <w:pPr>
        <w:pStyle w:val="BodyText"/>
        <w:ind w:left="720"/>
        <w:rPr>
          <w:lang w:val="en-GB"/>
        </w:rPr>
      </w:pPr>
      <w:r w:rsidRPr="00E64929">
        <w:rPr>
          <w:lang w:val="en-GB"/>
        </w:rPr>
        <w:t>UniFi</w:t>
      </w:r>
      <w:r w:rsidRPr="00E64929">
        <w:rPr>
          <w:lang w:val="en-GB"/>
        </w:rPr>
        <w:tab/>
      </w:r>
      <w:r w:rsidRPr="00E64929">
        <w:rPr>
          <w:lang w:val="en-GB"/>
        </w:rPr>
        <w:tab/>
      </w:r>
      <w:proofErr w:type="spellStart"/>
      <w:r w:rsidRPr="00E64929">
        <w:rPr>
          <w:lang w:val="en-GB"/>
        </w:rPr>
        <w:t>UniFi</w:t>
      </w:r>
      <w:proofErr w:type="spellEnd"/>
      <w:r w:rsidRPr="00E64929">
        <w:rPr>
          <w:lang w:val="en-GB"/>
        </w:rPr>
        <w:t xml:space="preserve"> Forecast</w:t>
      </w:r>
      <w:r w:rsidR="00DA30E7">
        <w:rPr>
          <w:lang w:val="en-GB"/>
        </w:rPr>
        <w:t xml:space="preserve"> (</w:t>
      </w:r>
      <w:r w:rsidR="00DA30E7" w:rsidRPr="004146BF">
        <w:rPr>
          <w:i/>
          <w:lang w:val="en-GB"/>
        </w:rPr>
        <w:t>as of last workbook export</w:t>
      </w:r>
      <w:r w:rsidR="004146BF" w:rsidRPr="004146BF">
        <w:rPr>
          <w:i/>
          <w:lang w:val="en-GB"/>
        </w:rPr>
        <w:t xml:space="preserve"> </w:t>
      </w:r>
      <w:r w:rsidR="004146BF">
        <w:rPr>
          <w:i/>
          <w:lang w:val="en-GB"/>
        </w:rPr>
        <w:t>data</w:t>
      </w:r>
      <w:r w:rsidR="00DA30E7">
        <w:rPr>
          <w:lang w:val="en-GB"/>
        </w:rPr>
        <w:t>)</w:t>
      </w:r>
    </w:p>
    <w:p w14:paraId="3F2D27E3" w14:textId="1D075556" w:rsidR="00E64929" w:rsidRPr="00E64929" w:rsidRDefault="00E64929" w:rsidP="00E64929">
      <w:pPr>
        <w:pStyle w:val="BodyText"/>
        <w:rPr>
          <w:u w:val="single"/>
          <w:lang w:val="en-GB"/>
        </w:rPr>
      </w:pPr>
      <w:r w:rsidRPr="00E64929">
        <w:rPr>
          <w:lang w:val="en-GB"/>
        </w:rPr>
        <w:t xml:space="preserve">                                                        </w:t>
      </w:r>
      <w:r w:rsidRPr="00E64929">
        <w:rPr>
          <w:u w:val="single"/>
          <w:lang w:val="en-GB"/>
        </w:rPr>
        <w:t xml:space="preserve">      </w:t>
      </w:r>
    </w:p>
    <w:p w14:paraId="538A08E9" w14:textId="5743612B" w:rsidR="00E64929" w:rsidRDefault="00E64929" w:rsidP="00E64929">
      <w:pPr>
        <w:pStyle w:val="BodyText"/>
        <w:rPr>
          <w:bCs/>
          <w:lang w:val="en-US"/>
        </w:rPr>
      </w:pPr>
      <w:r w:rsidRPr="00E64929">
        <w:rPr>
          <w:b/>
          <w:bCs/>
          <w:lang w:val="en-US"/>
        </w:rPr>
        <w:t>Current Year</w:t>
      </w:r>
      <w:r w:rsidRPr="00E64929">
        <w:rPr>
          <w:bCs/>
          <w:lang w:val="en-US"/>
        </w:rPr>
        <w:t xml:space="preserve"> </w:t>
      </w:r>
      <w:r w:rsidR="00DA30E7">
        <w:rPr>
          <w:bCs/>
          <w:lang w:val="en-US"/>
        </w:rPr>
        <w:t xml:space="preserve">or </w:t>
      </w:r>
      <w:r w:rsidR="00DA30E7" w:rsidRPr="00DA30E7">
        <w:rPr>
          <w:b/>
          <w:bCs/>
          <w:lang w:val="en-US"/>
        </w:rPr>
        <w:t>All Years</w:t>
      </w:r>
      <w:r w:rsidR="00DA30E7">
        <w:rPr>
          <w:b/>
          <w:bCs/>
          <w:lang w:val="en-US"/>
        </w:rPr>
        <w:t xml:space="preserve"> (</w:t>
      </w:r>
      <w:r w:rsidR="00DA30E7">
        <w:rPr>
          <w:bCs/>
          <w:i/>
          <w:lang w:val="en-US"/>
        </w:rPr>
        <w:t>consolidated</w:t>
      </w:r>
      <w:r w:rsidR="00DA30E7" w:rsidRPr="00DA30E7">
        <w:rPr>
          <w:bCs/>
          <w:i/>
          <w:lang w:val="en-US"/>
        </w:rPr>
        <w:t xml:space="preserve"> all forecast years</w:t>
      </w:r>
      <w:r w:rsidR="00DA30E7">
        <w:rPr>
          <w:b/>
          <w:bCs/>
          <w:lang w:val="en-US"/>
        </w:rPr>
        <w:t>)</w:t>
      </w:r>
      <w:r w:rsidR="00DA30E7">
        <w:rPr>
          <w:bCs/>
          <w:lang w:val="en-US"/>
        </w:rPr>
        <w:t xml:space="preserve"> = </w:t>
      </w:r>
      <w:r w:rsidRPr="00E64929">
        <w:rPr>
          <w:bCs/>
          <w:lang w:val="en-US"/>
        </w:rPr>
        <w:t xml:space="preserve">annual sub-totals are shown for each chartstring for Equity, Revenue and Expenditure. </w:t>
      </w:r>
    </w:p>
    <w:p w14:paraId="77B6B980" w14:textId="0300DF7A" w:rsidR="00E64929" w:rsidRPr="00E64929" w:rsidRDefault="00E64929" w:rsidP="00E64929">
      <w:pPr>
        <w:pStyle w:val="BodyText"/>
        <w:rPr>
          <w:bCs/>
          <w:lang w:val="en-US"/>
        </w:rPr>
      </w:pPr>
      <w:r w:rsidRPr="00006B00">
        <w:rPr>
          <w:b/>
          <w:bCs/>
          <w:lang w:val="en-US"/>
        </w:rPr>
        <w:t>Result</w:t>
      </w:r>
      <w:r w:rsidRPr="00E64929">
        <w:rPr>
          <w:bCs/>
          <w:lang w:val="en-US"/>
        </w:rPr>
        <w:t xml:space="preserve"> = </w:t>
      </w:r>
      <w:r w:rsidRPr="00006B00">
        <w:rPr>
          <w:b/>
          <w:bCs/>
          <w:lang w:val="en-US"/>
        </w:rPr>
        <w:t>Revenue</w:t>
      </w:r>
      <w:r w:rsidRPr="00E64929">
        <w:rPr>
          <w:bCs/>
          <w:lang w:val="en-US"/>
        </w:rPr>
        <w:t xml:space="preserve"> </w:t>
      </w:r>
      <w:r w:rsidRPr="00E64929">
        <w:rPr>
          <w:bCs/>
          <w:i/>
          <w:lang w:val="en-US"/>
        </w:rPr>
        <w:t>plus</w:t>
      </w:r>
      <w:r w:rsidRPr="00E64929">
        <w:rPr>
          <w:bCs/>
          <w:lang w:val="en-US"/>
        </w:rPr>
        <w:t xml:space="preserve"> </w:t>
      </w:r>
      <w:r w:rsidRPr="00006B00">
        <w:rPr>
          <w:b/>
          <w:bCs/>
          <w:lang w:val="en-US"/>
        </w:rPr>
        <w:t>Expenditure</w:t>
      </w:r>
      <w:proofErr w:type="gramStart"/>
      <w:r w:rsidRPr="00E64929">
        <w:rPr>
          <w:bCs/>
          <w:lang w:val="en-US"/>
        </w:rPr>
        <w:t xml:space="preserve">;  </w:t>
      </w:r>
      <w:r w:rsidRPr="00006B00">
        <w:rPr>
          <w:b/>
          <w:bCs/>
          <w:lang w:val="en-US"/>
        </w:rPr>
        <w:t>Balance</w:t>
      </w:r>
      <w:proofErr w:type="gramEnd"/>
      <w:r w:rsidRPr="00E64929">
        <w:rPr>
          <w:bCs/>
          <w:lang w:val="en-US"/>
        </w:rPr>
        <w:t xml:space="preserve"> = </w:t>
      </w:r>
      <w:r w:rsidRPr="00006B00">
        <w:rPr>
          <w:b/>
          <w:bCs/>
          <w:lang w:val="en-US"/>
        </w:rPr>
        <w:t>Equity</w:t>
      </w:r>
      <w:r w:rsidRPr="00E64929">
        <w:rPr>
          <w:bCs/>
          <w:lang w:val="en-US"/>
        </w:rPr>
        <w:t xml:space="preserve"> </w:t>
      </w:r>
      <w:r w:rsidRPr="00E64929">
        <w:rPr>
          <w:bCs/>
          <w:i/>
          <w:lang w:val="en-US"/>
        </w:rPr>
        <w:t>plus</w:t>
      </w:r>
      <w:r w:rsidRPr="00E64929">
        <w:rPr>
          <w:bCs/>
          <w:lang w:val="en-US"/>
        </w:rPr>
        <w:t xml:space="preserve"> </w:t>
      </w:r>
      <w:r w:rsidRPr="00006B00">
        <w:rPr>
          <w:b/>
          <w:bCs/>
          <w:lang w:val="en-US"/>
        </w:rPr>
        <w:t>Result</w:t>
      </w:r>
      <w:r w:rsidRPr="00E64929">
        <w:rPr>
          <w:bCs/>
          <w:lang w:val="en-US"/>
        </w:rPr>
        <w:t xml:space="preserve">. </w:t>
      </w:r>
    </w:p>
    <w:p w14:paraId="37F74AC1" w14:textId="77777777" w:rsidR="00E64929" w:rsidRPr="00E64929" w:rsidRDefault="00E64929" w:rsidP="00E64929">
      <w:pPr>
        <w:pStyle w:val="BodyText"/>
        <w:rPr>
          <w:bCs/>
          <w:lang w:val="en-US"/>
        </w:rPr>
      </w:pPr>
    </w:p>
    <w:p w14:paraId="73E2D82A" w14:textId="3E2D2595" w:rsidR="007E3DDB" w:rsidRDefault="00E64929" w:rsidP="00C64A0A">
      <w:pPr>
        <w:pStyle w:val="BodyText"/>
      </w:pPr>
      <w:r w:rsidRPr="00E64929">
        <w:rPr>
          <w:bCs/>
          <w:lang w:val="en-US"/>
        </w:rPr>
        <w:t xml:space="preserve">These sub-totals and data sets have been provided to </w:t>
      </w:r>
      <w:r w:rsidR="004D6FDE">
        <w:rPr>
          <w:bCs/>
          <w:lang w:val="en-US"/>
        </w:rPr>
        <w:t>help you quickly identify chart</w:t>
      </w:r>
      <w:r w:rsidRPr="00E64929">
        <w:rPr>
          <w:bCs/>
          <w:lang w:val="en-US"/>
        </w:rPr>
        <w:t>strings that might require account management.</w:t>
      </w:r>
      <w:r w:rsidR="007E3DDB">
        <w:br w:type="page"/>
      </w:r>
    </w:p>
    <w:p w14:paraId="51E48BE8" w14:textId="1FC35167" w:rsidR="00006B00" w:rsidRDefault="00006B00" w:rsidP="00006B00">
      <w:pPr>
        <w:pStyle w:val="Heading2"/>
      </w:pPr>
      <w:r>
        <w:lastRenderedPageBreak/>
        <w:t>Viewing Data Sets</w:t>
      </w:r>
    </w:p>
    <w:p w14:paraId="47D82151" w14:textId="77777777" w:rsidR="00006B00" w:rsidRDefault="00006B00" w:rsidP="00006B00">
      <w:pPr>
        <w:rPr>
          <w:bCs/>
          <w:lang w:val="en-US"/>
        </w:rPr>
      </w:pPr>
    </w:p>
    <w:p w14:paraId="4C608227" w14:textId="299EB34F" w:rsidR="00D55062" w:rsidRPr="00D55062" w:rsidRDefault="00D55062" w:rsidP="00D55062">
      <w:pPr>
        <w:pStyle w:val="BodyText"/>
        <w:rPr>
          <w:bCs/>
          <w:lang w:val="en-US"/>
        </w:rPr>
      </w:pPr>
      <w:r w:rsidRPr="00D55062">
        <w:rPr>
          <w:bCs/>
          <w:lang w:val="en-US"/>
        </w:rPr>
        <w:t>Forecast Data sets from either UniFi or the Workbo</w:t>
      </w:r>
      <w:r w:rsidR="00E443D7">
        <w:rPr>
          <w:bCs/>
          <w:lang w:val="en-US"/>
        </w:rPr>
        <w:t xml:space="preserve">ok can be selected for viewing </w:t>
      </w:r>
      <w:r w:rsidRPr="00D55062">
        <w:rPr>
          <w:bCs/>
          <w:lang w:val="en-US"/>
        </w:rPr>
        <w:t xml:space="preserve">– either as Current Year or for All Forecast Years.  </w:t>
      </w:r>
    </w:p>
    <w:p w14:paraId="2D6DEE7B" w14:textId="77777777" w:rsidR="00D55062" w:rsidRPr="00D55062" w:rsidRDefault="00D55062" w:rsidP="00D55062">
      <w:pPr>
        <w:pStyle w:val="BodyText"/>
        <w:rPr>
          <w:bCs/>
          <w:lang w:val="en-US"/>
        </w:rPr>
      </w:pPr>
      <w:r w:rsidRPr="00D55062">
        <w:rPr>
          <w:bCs/>
          <w:lang w:val="en-US"/>
        </w:rPr>
        <w:t>Selection can be made from the Drop-down List on the right-hand-side as follow:</w:t>
      </w:r>
    </w:p>
    <w:p w14:paraId="2430BE7B" w14:textId="77777777" w:rsidR="00D55062" w:rsidRPr="00D55062" w:rsidRDefault="00D55062" w:rsidP="00D55062">
      <w:pPr>
        <w:pStyle w:val="BodyText"/>
        <w:rPr>
          <w:bCs/>
          <w:lang w:val="en-US"/>
        </w:rPr>
      </w:pPr>
    </w:p>
    <w:p w14:paraId="7D084D52" w14:textId="348E5BEC" w:rsidR="00D55062" w:rsidRPr="00D55062" w:rsidRDefault="007E3DDB" w:rsidP="00081985">
      <w:pPr>
        <w:pStyle w:val="BodyText"/>
        <w:jc w:val="center"/>
        <w:rPr>
          <w:bCs/>
          <w:lang w:val="en-US"/>
        </w:rPr>
      </w:pPr>
      <w:r>
        <w:rPr>
          <w:noProof/>
          <w:lang w:eastAsia="en-AU"/>
        </w:rPr>
        <w:drawing>
          <wp:inline distT="0" distB="0" distL="0" distR="0" wp14:anchorId="54694560" wp14:editId="65974924">
            <wp:extent cx="4524376"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9"/>
                    <a:srcRect l="35212" t="40804" r="34758" b="51492"/>
                    <a:stretch/>
                  </pic:blipFill>
                  <pic:spPr>
                    <a:xfrm>
                      <a:off x="0" y="0"/>
                      <a:ext cx="4524376" cy="514350"/>
                    </a:xfrm>
                    <a:prstGeom prst="rect">
                      <a:avLst/>
                    </a:prstGeom>
                  </pic:spPr>
                </pic:pic>
              </a:graphicData>
            </a:graphic>
          </wp:inline>
        </w:drawing>
      </w:r>
    </w:p>
    <w:p w14:paraId="446B6709" w14:textId="6ACDBF06" w:rsidR="007E3DDB" w:rsidRDefault="007E3DDB" w:rsidP="00081985">
      <w:pPr>
        <w:pStyle w:val="BodyText"/>
        <w:jc w:val="center"/>
        <w:rPr>
          <w:bCs/>
          <w:lang w:val="en-US"/>
        </w:rPr>
      </w:pPr>
      <w:r>
        <w:rPr>
          <w:noProof/>
          <w:lang w:eastAsia="en-AU"/>
        </w:rPr>
        <w:drawing>
          <wp:inline distT="0" distB="0" distL="0" distR="0" wp14:anchorId="57394075" wp14:editId="4A6AA484">
            <wp:extent cx="4524376" cy="72390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0"/>
                    <a:srcRect l="35213" t="40947" r="34758" b="48210"/>
                    <a:stretch/>
                  </pic:blipFill>
                  <pic:spPr>
                    <a:xfrm>
                      <a:off x="0" y="0"/>
                      <a:ext cx="4524376" cy="723901"/>
                    </a:xfrm>
                    <a:prstGeom prst="rect">
                      <a:avLst/>
                    </a:prstGeom>
                  </pic:spPr>
                </pic:pic>
              </a:graphicData>
            </a:graphic>
          </wp:inline>
        </w:drawing>
      </w:r>
    </w:p>
    <w:p w14:paraId="72264A5A" w14:textId="77777777" w:rsidR="00081985" w:rsidRDefault="00081985" w:rsidP="00D55062">
      <w:pPr>
        <w:pStyle w:val="BodyText"/>
        <w:rPr>
          <w:bCs/>
          <w:lang w:val="en-US"/>
        </w:rPr>
      </w:pPr>
    </w:p>
    <w:p w14:paraId="464BCF33" w14:textId="28514853" w:rsidR="00006B00" w:rsidRPr="009F4E10" w:rsidRDefault="007E3DDB" w:rsidP="00081985">
      <w:pPr>
        <w:pStyle w:val="BodyText"/>
        <w:jc w:val="center"/>
      </w:pPr>
      <w:r>
        <w:rPr>
          <w:noProof/>
          <w:lang w:eastAsia="en-AU"/>
        </w:rPr>
        <w:drawing>
          <wp:inline distT="0" distB="0" distL="0" distR="0" wp14:anchorId="355DE6EC" wp14:editId="6E70CDE3">
            <wp:extent cx="5124893" cy="2466616"/>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1"/>
                    <a:srcRect l="4492" t="45083" r="3431" b="3787"/>
                    <a:stretch/>
                  </pic:blipFill>
                  <pic:spPr>
                    <a:xfrm>
                      <a:off x="0" y="0"/>
                      <a:ext cx="5140924" cy="2474332"/>
                    </a:xfrm>
                    <a:prstGeom prst="rect">
                      <a:avLst/>
                    </a:prstGeom>
                  </pic:spPr>
                </pic:pic>
              </a:graphicData>
            </a:graphic>
          </wp:inline>
        </w:drawing>
      </w:r>
    </w:p>
    <w:sectPr w:rsidR="00006B00" w:rsidRPr="009F4E10" w:rsidSect="00781D68">
      <w:type w:val="continuous"/>
      <w:pgSz w:w="16838" w:h="11906" w:orient="landscape" w:code="9"/>
      <w:pgMar w:top="1702" w:right="1134" w:bottom="1134" w:left="1134" w:header="56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A465" w14:textId="77777777" w:rsidR="00BA3023" w:rsidRDefault="00BA3023" w:rsidP="00C20C17">
      <w:r>
        <w:separator/>
      </w:r>
    </w:p>
  </w:endnote>
  <w:endnote w:type="continuationSeparator" w:id="0">
    <w:p w14:paraId="3882EAF9" w14:textId="77777777" w:rsidR="00BA3023" w:rsidRDefault="00BA3023"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13729"/>
      <w:gridCol w:w="841"/>
    </w:tblGrid>
    <w:tr w:rsidR="00B042DF" w14:paraId="48601E17" w14:textId="77777777" w:rsidTr="00B042DF">
      <w:tc>
        <w:tcPr>
          <w:tcW w:w="9072" w:type="dxa"/>
          <w:vAlign w:val="bottom"/>
        </w:tcPr>
        <w:p w14:paraId="2388DE11" w14:textId="48B965CC" w:rsidR="00B042DF" w:rsidRPr="009F4E10" w:rsidRDefault="00B042DF" w:rsidP="004249B0">
          <w:pPr>
            <w:pStyle w:val="Footer"/>
          </w:pPr>
        </w:p>
      </w:tc>
      <w:tc>
        <w:tcPr>
          <w:tcW w:w="556" w:type="dxa"/>
          <w:vAlign w:val="bottom"/>
        </w:tcPr>
        <w:p w14:paraId="54BBEC2B" w14:textId="482B2A73"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045CDD">
            <w:rPr>
              <w:b/>
              <w:noProof/>
              <w:szCs w:val="15"/>
            </w:rPr>
            <w:t>5</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890186938"/>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2105716694"/>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617747958"/>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proofErr w:type="spellStart"/>
          <w:r w:rsidRPr="0016241C">
            <w:rPr>
              <w:sz w:val="11"/>
              <w:szCs w:val="11"/>
            </w:rPr>
            <w:t>CRICOS</w:t>
          </w:r>
          <w:proofErr w:type="spellEnd"/>
          <w:r w:rsidRPr="0016241C">
            <w:rPr>
              <w:sz w:val="11"/>
              <w:szCs w:val="11"/>
            </w:rPr>
            <w:t xml:space="preserve">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CC74" w14:textId="77777777" w:rsidR="00BA3023" w:rsidRDefault="00BA3023" w:rsidP="00C20C17">
      <w:r>
        <w:separator/>
      </w:r>
    </w:p>
  </w:footnote>
  <w:footnote w:type="continuationSeparator" w:id="0">
    <w:p w14:paraId="1B4FC05D" w14:textId="77777777" w:rsidR="00BA3023" w:rsidRDefault="00BA3023"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C2B9" w14:textId="0E9B3D24" w:rsidR="00A00890" w:rsidRDefault="00FA35A3" w:rsidP="00FA35A3">
    <w:pPr>
      <w:pStyle w:val="Header"/>
    </w:pPr>
    <w:r>
      <w:rPr>
        <w:noProof/>
        <w:lang w:eastAsia="en-AU"/>
      </w:rPr>
      <w:drawing>
        <wp:anchor distT="0" distB="0" distL="114300" distR="114300" simplePos="0" relativeHeight="251666432" behindDoc="1" locked="0" layoutInCell="1" allowOverlap="1" wp14:anchorId="32DE8355" wp14:editId="2438AB14">
          <wp:simplePos x="0" y="0"/>
          <wp:positionH relativeFrom="column">
            <wp:posOffset>-735634</wp:posOffset>
          </wp:positionH>
          <wp:positionV relativeFrom="paragraph">
            <wp:posOffset>-361950</wp:posOffset>
          </wp:positionV>
          <wp:extent cx="10696575" cy="955675"/>
          <wp:effectExtent l="0" t="0" r="9525" b="0"/>
          <wp:wrapTight wrapText="bothSides">
            <wp:wrapPolygon edited="0">
              <wp:start x="0" y="0"/>
              <wp:lineTo x="0" y="21098"/>
              <wp:lineTo x="21581" y="21098"/>
              <wp:lineTo x="21581" y="0"/>
              <wp:lineTo x="0" y="0"/>
            </wp:wrapPolygon>
          </wp:wrapTight>
          <wp:docPr id="1" name="Picture 1" descr="S:\BEL-FacultyOffice\Marketing\Branding_Logos_Templates &amp; Fonts\3. Templates\BEL\Word Docs\Rebrand\UQ Create Change Generic purple landscape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L-FacultyOffice\Marketing\Branding_Logos_Templates &amp; Fonts\3. Templates\BEL\Word Docs\Rebrand\UQ Create Change Generic purple landscape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3CA3265"/>
    <w:multiLevelType w:val="hybridMultilevel"/>
    <w:tmpl w:val="28D60B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4"/>
  </w:num>
  <w:num w:numId="3">
    <w:abstractNumId w:val="9"/>
  </w:num>
  <w:num w:numId="4">
    <w:abstractNumId w:val="3"/>
  </w:num>
  <w:num w:numId="5">
    <w:abstractNumId w:val="12"/>
  </w:num>
  <w:num w:numId="6">
    <w:abstractNumId w:val="5"/>
  </w:num>
  <w:num w:numId="7">
    <w:abstractNumId w:val="7"/>
  </w:num>
  <w:num w:numId="8">
    <w:abstractNumId w:val="8"/>
  </w:num>
  <w:num w:numId="9">
    <w:abstractNumId w:val="2"/>
  </w:num>
  <w:num w:numId="10">
    <w:abstractNumId w:val="10"/>
  </w:num>
  <w:num w:numId="11">
    <w:abstractNumId w:val="1"/>
  </w:num>
  <w:num w:numId="12">
    <w:abstractNumId w:val="0"/>
  </w:num>
  <w:num w:numId="13">
    <w:abstractNumId w:val="1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3"/>
  </w:num>
  <w:num w:numId="15">
    <w:abstractNumId w:val="11"/>
  </w:num>
  <w:num w:numId="16">
    <w:abstractNumId w:val="6"/>
  </w:num>
  <w:num w:numId="17">
    <w:abstractNumId w:val="4"/>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6B00"/>
    <w:rsid w:val="000300D4"/>
    <w:rsid w:val="00045CDD"/>
    <w:rsid w:val="000536CB"/>
    <w:rsid w:val="00081985"/>
    <w:rsid w:val="00084DC5"/>
    <w:rsid w:val="000A7AFE"/>
    <w:rsid w:val="000B14BE"/>
    <w:rsid w:val="000B3E75"/>
    <w:rsid w:val="000F4BB0"/>
    <w:rsid w:val="0010407B"/>
    <w:rsid w:val="0013414F"/>
    <w:rsid w:val="0016241C"/>
    <w:rsid w:val="001741BF"/>
    <w:rsid w:val="00193459"/>
    <w:rsid w:val="00196C64"/>
    <w:rsid w:val="001B6A57"/>
    <w:rsid w:val="001E544B"/>
    <w:rsid w:val="0020725A"/>
    <w:rsid w:val="002142AC"/>
    <w:rsid w:val="00217C69"/>
    <w:rsid w:val="00241DF1"/>
    <w:rsid w:val="00287293"/>
    <w:rsid w:val="00292EDB"/>
    <w:rsid w:val="002B1FD0"/>
    <w:rsid w:val="002B5753"/>
    <w:rsid w:val="002D73F6"/>
    <w:rsid w:val="002F07CF"/>
    <w:rsid w:val="002F612F"/>
    <w:rsid w:val="00310B79"/>
    <w:rsid w:val="00324C15"/>
    <w:rsid w:val="0033054B"/>
    <w:rsid w:val="003314A2"/>
    <w:rsid w:val="00363EA7"/>
    <w:rsid w:val="003C1402"/>
    <w:rsid w:val="003D4167"/>
    <w:rsid w:val="003E48F8"/>
    <w:rsid w:val="003E5B97"/>
    <w:rsid w:val="004146BF"/>
    <w:rsid w:val="00416244"/>
    <w:rsid w:val="00416FF4"/>
    <w:rsid w:val="004249B0"/>
    <w:rsid w:val="00445521"/>
    <w:rsid w:val="00463D08"/>
    <w:rsid w:val="004713C5"/>
    <w:rsid w:val="004972A0"/>
    <w:rsid w:val="00497A08"/>
    <w:rsid w:val="004B13EC"/>
    <w:rsid w:val="004B441F"/>
    <w:rsid w:val="004D6FDE"/>
    <w:rsid w:val="004E4F05"/>
    <w:rsid w:val="00503135"/>
    <w:rsid w:val="005A6CC7"/>
    <w:rsid w:val="005B54F0"/>
    <w:rsid w:val="005D0167"/>
    <w:rsid w:val="005D4250"/>
    <w:rsid w:val="005E22FD"/>
    <w:rsid w:val="005E7363"/>
    <w:rsid w:val="00614669"/>
    <w:rsid w:val="006377A2"/>
    <w:rsid w:val="00642034"/>
    <w:rsid w:val="00657124"/>
    <w:rsid w:val="00670B05"/>
    <w:rsid w:val="00684298"/>
    <w:rsid w:val="006873AE"/>
    <w:rsid w:val="006A24C4"/>
    <w:rsid w:val="006C0E44"/>
    <w:rsid w:val="006E71A4"/>
    <w:rsid w:val="0071246C"/>
    <w:rsid w:val="00716942"/>
    <w:rsid w:val="00781D68"/>
    <w:rsid w:val="007B215D"/>
    <w:rsid w:val="007C38B8"/>
    <w:rsid w:val="007D347B"/>
    <w:rsid w:val="007E3DDB"/>
    <w:rsid w:val="007F5557"/>
    <w:rsid w:val="00834296"/>
    <w:rsid w:val="00862690"/>
    <w:rsid w:val="00882359"/>
    <w:rsid w:val="008B0D7D"/>
    <w:rsid w:val="008E2EA4"/>
    <w:rsid w:val="00932C2F"/>
    <w:rsid w:val="00944DDB"/>
    <w:rsid w:val="00953458"/>
    <w:rsid w:val="009774DC"/>
    <w:rsid w:val="009858ED"/>
    <w:rsid w:val="009D6143"/>
    <w:rsid w:val="009D7190"/>
    <w:rsid w:val="009D7F71"/>
    <w:rsid w:val="009E3486"/>
    <w:rsid w:val="009E3FDE"/>
    <w:rsid w:val="009E6379"/>
    <w:rsid w:val="009F3881"/>
    <w:rsid w:val="009F4E10"/>
    <w:rsid w:val="00A00890"/>
    <w:rsid w:val="00A12421"/>
    <w:rsid w:val="00A32BF4"/>
    <w:rsid w:val="00A34437"/>
    <w:rsid w:val="00A77D53"/>
    <w:rsid w:val="00AD382E"/>
    <w:rsid w:val="00AE34ED"/>
    <w:rsid w:val="00B025B0"/>
    <w:rsid w:val="00B042DF"/>
    <w:rsid w:val="00B13955"/>
    <w:rsid w:val="00B345E8"/>
    <w:rsid w:val="00B375A0"/>
    <w:rsid w:val="00B50FE6"/>
    <w:rsid w:val="00B64797"/>
    <w:rsid w:val="00B742E4"/>
    <w:rsid w:val="00B97292"/>
    <w:rsid w:val="00BA3023"/>
    <w:rsid w:val="00BC0E71"/>
    <w:rsid w:val="00C20C17"/>
    <w:rsid w:val="00C33B32"/>
    <w:rsid w:val="00C474B7"/>
    <w:rsid w:val="00C522C0"/>
    <w:rsid w:val="00C64A0A"/>
    <w:rsid w:val="00C80A4B"/>
    <w:rsid w:val="00C81D8D"/>
    <w:rsid w:val="00C960ED"/>
    <w:rsid w:val="00CB4670"/>
    <w:rsid w:val="00D13C7F"/>
    <w:rsid w:val="00D32971"/>
    <w:rsid w:val="00D55062"/>
    <w:rsid w:val="00D8242B"/>
    <w:rsid w:val="00DA30E7"/>
    <w:rsid w:val="00DA5594"/>
    <w:rsid w:val="00DC57CF"/>
    <w:rsid w:val="00DD0AFE"/>
    <w:rsid w:val="00DD3FBD"/>
    <w:rsid w:val="00DD4113"/>
    <w:rsid w:val="00DE0B9B"/>
    <w:rsid w:val="00E443D7"/>
    <w:rsid w:val="00E53A35"/>
    <w:rsid w:val="00E64929"/>
    <w:rsid w:val="00E7261C"/>
    <w:rsid w:val="00E87A8D"/>
    <w:rsid w:val="00EE473C"/>
    <w:rsid w:val="00F05DE7"/>
    <w:rsid w:val="00F16CC5"/>
    <w:rsid w:val="00F4114D"/>
    <w:rsid w:val="00F416F9"/>
    <w:rsid w:val="00FA35A3"/>
    <w:rsid w:val="00FA62E0"/>
    <w:rsid w:val="00FC0BC3"/>
    <w:rsid w:val="00FC228E"/>
    <w:rsid w:val="00FD1621"/>
    <w:rsid w:val="00FE7360"/>
    <w:rsid w:val="00FE790C"/>
    <w:rsid w:val="00FF3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9F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0E1D0A"/>
    <w:rsid w:val="00156AD0"/>
    <w:rsid w:val="00202021"/>
    <w:rsid w:val="00214366"/>
    <w:rsid w:val="00320FDF"/>
    <w:rsid w:val="00347637"/>
    <w:rsid w:val="003A492E"/>
    <w:rsid w:val="006B7019"/>
    <w:rsid w:val="007C07EE"/>
    <w:rsid w:val="007D3465"/>
    <w:rsid w:val="008A243F"/>
    <w:rsid w:val="00BB787A"/>
    <w:rsid w:val="00D90793"/>
    <w:rsid w:val="00E0205E"/>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D543-0C8C-431A-9AAD-71E73A18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226</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David Le</cp:lastModifiedBy>
  <cp:revision>45</cp:revision>
  <dcterms:created xsi:type="dcterms:W3CDTF">2019-11-08T03:33:00Z</dcterms:created>
  <dcterms:modified xsi:type="dcterms:W3CDTF">2020-01-14T02:42:00Z</dcterms:modified>
</cp:coreProperties>
</file>